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Framework</w:t>
      </w:r>
      <w:r>
        <w:t xml:space="preserve"> </w:t>
      </w:r>
      <w:r>
        <w:t xml:space="preserve">for</w:t>
      </w:r>
      <w:r>
        <w:t xml:space="preserve"> </w:t>
      </w:r>
      <w:r>
        <w:t xml:space="preserve">Canada,</w:t>
      </w:r>
      <w:r>
        <w:t xml:space="preserve"> </w:t>
      </w:r>
      <w:r>
        <w:t xml:space="preserve">Montreal</w:t>
      </w:r>
    </w:p>
    <w:bookmarkStart w:id="32" w:name="Xd0dc5a38f552f396cc0561ed6a3e8f7143bf4d2"/>
    <w:p>
      <w:pPr>
        <w:pStyle w:val="Heading1"/>
      </w:pPr>
      <w:r>
        <w:t xml:space="preserve">Project Report: Strategic Political Engagement Framework for Canada, Montreal</w:t>
      </w:r>
    </w:p>
    <w:bookmarkStart w:id="20" w:name="executive-summary"/>
    <w:p>
      <w:pPr>
        <w:pStyle w:val="Heading2"/>
      </w:pPr>
      <w:r>
        <w:t xml:space="preserve">Executive Summary</w:t>
      </w:r>
    </w:p>
    <w:p>
      <w:pPr>
        <w:pStyle w:val="FirstParagraph"/>
      </w:pPr>
      <w:r>
        <w:t xml:space="preserve">This Project Report outlines a comprehensive strategic framework designed to facilitate effective political engagement, governance analysis, and civic participation within the unique socio-political landscape of</w:t>
      </w:r>
      <w:r>
        <w:t xml:space="preserve"> </w:t>
      </w:r>
      <w:r>
        <w:rPr>
          <w:bCs/>
          <w:b/>
        </w:rPr>
        <w:t xml:space="preserve">Canada</w:t>
      </w:r>
      <w:r>
        <w:t xml:space="preserve">, specifically focusing on the city of Montreal. As a global hub for culture, economy, and diversity in Quebec and Canada as a whole, Montreal presents distinct challenges and opportunities for any</w:t>
      </w:r>
      <w:r>
        <w:t xml:space="preserve"> </w:t>
      </w:r>
      <w:r>
        <w:rPr>
          <w:bCs/>
          <w:b/>
        </w:rPr>
        <w:t xml:space="preserve">Politician</w:t>
      </w:r>
      <w:r>
        <w:t xml:space="preserve"> </w:t>
      </w:r>
      <w:r>
        <w:t xml:space="preserve">seeking to serve its constituents. This document details the operational scope, cultural considerations, linguistic mandates (French/English), and digital integration strategies required to build trust and drive policy success in this dynamic region.</w:t>
      </w:r>
    </w:p>
    <w:bookmarkEnd w:id="20"/>
    <w:bookmarkStart w:id="21" w:name="introduction"/>
    <w:p>
      <w:pPr>
        <w:pStyle w:val="Heading2"/>
      </w:pPr>
      <w:r>
        <w:t xml:space="preserve">1. Introduction</w:t>
      </w:r>
    </w:p>
    <w:p>
      <w:pPr>
        <w:pStyle w:val="FirstParagraph"/>
      </w:pPr>
      <w:r>
        <w:t xml:space="preserve">The political environment in modern governance has evolved significantly, shifting from traditional town-hall meetings to complex, data-driven digital ecosystems. This project report addresses the critical need for a robust framework tailored specifically to the identity of Montreal as a major North American city within Canada. The core objective is to empower any individual acting as a</w:t>
      </w:r>
      <w:r>
        <w:t xml:space="preserve"> </w:t>
      </w:r>
      <w:r>
        <w:rPr>
          <w:bCs/>
          <w:b/>
        </w:rPr>
        <w:t xml:space="preserve">Politician</w:t>
      </w:r>
      <w:r>
        <w:t xml:space="preserve">—whether at the municipal, provincial (Quebec), or federal level—with tools and strategies that resonate with Montreal’s unique demographic.</w:t>
      </w:r>
    </w:p>
    <w:p>
      <w:pPr>
        <w:pStyle w:val="BodyText"/>
      </w:pPr>
      <w:r>
        <w:t xml:space="preserve">Montreal is not merely a geographic location; it is a cultural entity characterized by its bilingual nature, vibrant arts scene, and strong sense of civic pride. For any</w:t>
      </w:r>
      <w:r>
        <w:t xml:space="preserve"> </w:t>
      </w:r>
      <w:r>
        <w:rPr>
          <w:bCs/>
          <w:b/>
        </w:rPr>
        <w:t xml:space="preserve">Politician</w:t>
      </w:r>
      <w:r>
        <w:t xml:space="preserve">, understanding the nuances of this environment is not optional but essential for electoral viability and effective governance. This report serves as a blueprint for navigating these complexities while adhering to Canadian democratic values.</w:t>
      </w:r>
    </w:p>
    <w:bookmarkEnd w:id="21"/>
    <w:bookmarkStart w:id="24" w:name="Xbbb3994c78bc7f8d12cbbe85c197306f8361df6"/>
    <w:p>
      <w:pPr>
        <w:pStyle w:val="Heading2"/>
      </w:pPr>
      <w:r>
        <w:t xml:space="preserve">2. Contextual Analysis: The Montreal Landscape in Canada</w:t>
      </w:r>
    </w:p>
    <w:bookmarkStart w:id="22" w:name="linguistic-and-cultural-dynamics"/>
    <w:p>
      <w:pPr>
        <w:pStyle w:val="Heading3"/>
      </w:pPr>
      <w:r>
        <w:t xml:space="preserve">2.1 Linguistic and Cultural Dynamics</w:t>
      </w:r>
    </w:p>
    <w:p>
      <w:pPr>
        <w:pStyle w:val="FirstParagraph"/>
      </w:pPr>
      <w:r>
        <w:t xml:space="preserve">The most defining characteristic of political engagement in Montreal is language. Operating within the province of Quebec, which is part of Canada, requires strict adherence to bilingualism standards at the federal level and French dominance at the municipal and provincial levels. A successful strategy must ensure that all communication materials are not only translated but culturally localized. For a</w:t>
      </w:r>
      <w:r>
        <w:t xml:space="preserve"> </w:t>
      </w:r>
      <w:r>
        <w:rPr>
          <w:bCs/>
          <w:b/>
        </w:rPr>
        <w:t xml:space="preserve">Politician</w:t>
      </w:r>
      <w:r>
        <w:t xml:space="preserve">, failing to communicate effectively in French can lead to immediate alienation of a significant portion of the electorate.</w:t>
      </w:r>
    </w:p>
    <w:bookmarkEnd w:id="22"/>
    <w:bookmarkStart w:id="23" w:name="demographic-diversity"/>
    <w:p>
      <w:pPr>
        <w:pStyle w:val="Heading3"/>
      </w:pPr>
      <w:r>
        <w:t xml:space="preserve">2.2 Demographic Diversity</w:t>
      </w:r>
    </w:p>
    <w:p>
      <w:pPr>
        <w:pStyle w:val="FirstParagraph"/>
      </w:pPr>
      <w:r>
        <w:t xml:space="preserve">Montreal is one of the most multicultural cities in Canada. It hosts large communities originating from Europe, North Africa, the Caribbean, Asia, and South America. This diversity demands a political approach that is inclusive and representative. The framework emphasizes coalition-building across these various ethnic lines to create a broad base of support.</w:t>
      </w:r>
    </w:p>
    <w:bookmarkEnd w:id="23"/>
    <w:bookmarkEnd w:id="24"/>
    <w:bookmarkStart w:id="25" w:name="X20b215b8ebc5a9f3d4b0cb16ee7a3e74c05a940"/>
    <w:p>
      <w:pPr>
        <w:pStyle w:val="Heading2"/>
      </w:pPr>
      <w:r>
        <w:t xml:space="preserve">3. Strategic Objectives for Political Engagement</w:t>
      </w:r>
    </w:p>
    <w:p>
      <w:pPr>
        <w:pStyle w:val="FirstParagraph"/>
      </w:pPr>
      <w:r>
        <w:t xml:space="preserve">To achieve success in Montreal, the following strategic pillars are established:</w:t>
      </w:r>
    </w:p>
    <w:p>
      <w:pPr>
        <w:numPr>
          <w:ilvl w:val="0"/>
          <w:numId w:val="1001"/>
        </w:numPr>
        <w:pStyle w:val="Compact"/>
      </w:pPr>
      <w:r>
        <w:rPr>
          <w:bCs/>
          <w:b/>
        </w:rPr>
        <w:t xml:space="preserve">Civic Trust Building:</w:t>
      </w:r>
    </w:p>
    <w:p>
      <w:pPr>
        <w:numPr>
          <w:ilvl w:val="0"/>
          <w:numId w:val="1001"/>
        </w:numPr>
        <w:pStyle w:val="Compact"/>
      </w:pPr>
      <w:r>
        <w:rPr>
          <w:bCs/>
          <w:b/>
        </w:rPr>
        <w:t xml:space="preserve">Digital-First Outreach:</w:t>
      </w:r>
    </w:p>
    <w:p>
      <w:pPr>
        <w:numPr>
          <w:ilvl w:val="0"/>
          <w:numId w:val="1001"/>
        </w:numPr>
        <w:pStyle w:val="Compact"/>
      </w:pPr>
      <w:r>
        <w:rPr>
          <w:bCs/>
          <w:b/>
        </w:rPr>
        <w:t xml:space="preserve">Local Issue Prioritization:</w:t>
      </w:r>
    </w:p>
    <w:bookmarkEnd w:id="25"/>
    <w:bookmarkStart w:id="28" w:name="operational-implementation-plan"/>
    <w:p>
      <w:pPr>
        <w:pStyle w:val="Heading2"/>
      </w:pPr>
      <w:r>
        <w:t xml:space="preserve">4. Operational Implementation Plan</w:t>
      </w:r>
    </w:p>
    <w:bookmarkStart w:id="26" w:name="communication-strategy"/>
    <w:p>
      <w:pPr>
        <w:pStyle w:val="Heading3"/>
      </w:pPr>
      <w:r>
        <w:t xml:space="preserve">4.1 Communication Strategy</w:t>
      </w:r>
    </w:p>
    <w:p>
      <w:pPr>
        <w:pStyle w:val="FirstParagraph"/>
      </w:pPr>
      <w:r>
        <w:t xml:space="preserve">The communication strategy for any</w:t>
      </w:r>
      <w:r>
        <w:t xml:space="preserve"> </w:t>
      </w:r>
      <w:r>
        <w:rPr>
          <w:bCs/>
          <w:b/>
        </w:rPr>
        <w:t xml:space="preserve">Politician</w:t>
      </w:r>
      <w:r>
        <w:t xml:space="preserve">. operating in Montreal must be dual-channel: traditional and digital.</w:t>
      </w:r>
    </w:p>
    <w:p>
      <w:pPr>
        <w:pStyle w:val="BodyText"/>
      </w:pPr>
      <w:r>
        <w:rPr>
          <w:iCs/>
          <w:i/>
        </w:rPr>
        <w:t xml:space="preserve">A. Digital Campaigning:</w:t>
      </w:r>
      <w:r>
        <w:t xml:space="preserve"> </w:t>
      </w:r>
      <w:r>
        <w:t xml:space="preserve">Implementation of a centralized digital hub (website and app) that serves as a one-stop shop for residents to report issues, such as potholes or sanitation delays, directly to city hall. This demonstrates responsiveness and accountability.</w:t>
      </w:r>
    </w:p>
    <w:p>
      <w:pPr>
        <w:pStyle w:val="BodyText"/>
      </w:pPr>
      <w:r>
        <w:rPr>
          <w:iCs/>
          <w:i/>
        </w:rPr>
        <w:t xml:space="preserve">B. Community Town Halls:</w:t>
      </w:r>
      <w:r>
        <w:t xml:space="preserve"> </w:t>
      </w:r>
      <w:r>
        <w:t xml:space="preserve">Reinstating the tradition of face-to-face interaction is vital in Montreal’s community-centric culture. Regular town halls held in diverse boroughs, featuring simultaneous interpretation where necessary, will foster a sense of inclusion and direct democratic participation.</w:t>
      </w:r>
    </w:p>
    <w:bookmarkEnd w:id="26"/>
    <w:bookmarkStart w:id="27" w:name="policy-alignment-with-canadian-values"/>
    <w:p>
      <w:pPr>
        <w:pStyle w:val="Heading3"/>
      </w:pPr>
      <w:r>
        <w:t xml:space="preserve">4.2 Policy Alignment with Canadian Values</w:t>
      </w:r>
    </w:p>
    <w:p>
      <w:pPr>
        <w:pStyle w:val="FirstParagraph"/>
      </w:pPr>
      <w:r>
        <w:t xml:space="preserve">All initiatives must align with the broader values of Canada, including multiculturalism and bilingualism. However, they must also respect Quebec’s distinct society status within the Canadian federation. The framework advocates for policies that balance federal responsibilities (like healthcare funding) with municipal autonomy (like urban development).</w:t>
      </w:r>
    </w:p>
    <w:bookmarkEnd w:id="27"/>
    <w:bookmarkEnd w:id="28"/>
    <w:bookmarkStart w:id="29" w:name="challenges-and-risk-mitigation"/>
    <w:p>
      <w:pPr>
        <w:pStyle w:val="Heading2"/>
      </w:pPr>
      <w:r>
        <w:t xml:space="preserve">5. Challenges and Risk Mitigation</w:t>
      </w:r>
    </w:p>
    <w:p>
      <w:pPr>
        <w:pStyle w:val="FirstParagraph"/>
      </w:pPr>
      <w:r>
        <w:rPr>
          <w:bCs/>
          <w:b/>
        </w:rPr>
        <w:t xml:space="preserve">Linguistic Polarization:</w:t>
      </w:r>
      <w:r>
        <w:t xml:space="preserve"> </w:t>
      </w:r>
      <w:r>
        <w:t xml:space="preserve">There is an inherent risk of political polarization surrounding language laws. A</w:t>
      </w:r>
      <w:r>
        <w:t xml:space="preserve"> </w:t>
      </w:r>
      <w:r>
        <w:rPr>
          <w:bCs/>
          <w:b/>
        </w:rPr>
        <w:t xml:space="preserve">Politician</w:t>
      </w:r>
      <w:r>
        <w:t xml:space="preserve">. must navigate these waters with diplomatic care, ensuring that minority language rights are respected while acknowledging the primacy of French in Quebec public life.</w:t>
      </w:r>
    </w:p>
    <w:p>
      <w:pPr>
        <w:pStyle w:val="BodyText"/>
      </w:pPr>
      <w:r>
        <w:t xml:space="preserve">Economic Fluctuations:</w:t>
      </w:r>
      <w:r>
        <w:t xml:space="preserve"> </w:t>
      </w:r>
      <w:r>
        <w:t xml:space="preserve">Montreal’s economy is tied to global trends. Economic downturns can lead to increased pressure on social services. The mitigation strategy involves creating robust contingency funds and partnering with local non-profits to provide immediate relief, demonstrating compassionate leadership.</w:t>
      </w:r>
    </w:p>
    <w:p>
      <w:pPr>
        <w:pStyle w:val="BodyText"/>
      </w:pPr>
      <w:r>
        <w:t xml:space="preserve">Political Fragmentation:</w:t>
      </w:r>
      <w:r>
        <w:t xml:space="preserve"> </w:t>
      </w:r>
      <w:r>
        <w:t xml:space="preserve">With multiple parties active at the municipal, provincial, and federal levels in Montreal/Canada, coordination can be difficult. The framework proposes establishing inter-party working groups on non-partisan issues such as climate change adaptation and infrastructure maintenance.</w:t>
      </w:r>
    </w:p>
    <w:bookmarkEnd w:id="29"/>
    <w:bookmarkStart w:id="30" w:name="expected-outcomes-and-success-metrics"/>
    <w:p>
      <w:pPr>
        <w:pStyle w:val="Heading2"/>
      </w:pPr>
      <w:r>
        <w:t xml:space="preserve">6. Expected Outcomes and Success Metrics</w:t>
      </w:r>
    </w:p>
    <w:p>
      <w:pPr>
        <w:pStyle w:val="FirstParagraph"/>
      </w:pPr>
      <w:r>
        <w:t xml:space="preserve">The success of this project will be measured by several key performance indicators (KPIs):</w:t>
      </w:r>
    </w:p>
    <w:p>
      <w:pPr>
        <w:numPr>
          <w:ilvl w:val="0"/>
          <w:numId w:val="1002"/>
        </w:numPr>
        <w:pStyle w:val="Compact"/>
      </w:pPr>
      <w:r>
        <w:rPr>
          <w:bCs/>
          <w:b/>
        </w:rPr>
        <w:t xml:space="preserve">Voter Turnout:</w:t>
      </w:r>
      <w:r>
        <w:t xml:space="preserve"> </w:t>
      </w:r>
      <w:r>
        <w:t xml:space="preserve">An increase in participation rates in local elections, indicating higher civic engagement.</w:t>
      </w:r>
    </w:p>
    <w:p>
      <w:pPr>
        <w:numPr>
          <w:ilvl w:val="0"/>
          <w:numId w:val="1002"/>
        </w:numPr>
        <w:pStyle w:val="Compact"/>
      </w:pPr>
      <w:r>
        <w:rPr>
          <w:bCs/>
          <w:b/>
        </w:rPr>
        <w:t xml:space="preserve">Digital Interaction Rates:</w:t>
      </w:r>
      <w:r>
        <w:t xml:space="preserve"> </w:t>
      </w:r>
      <w:r>
        <w:t xml:space="preserve">High levels of user interaction with the proposed digital platforms, reflecting active citizen engagement.</w:t>
      </w:r>
    </w:p>
    <w:p>
      <w:pPr>
        <w:numPr>
          <w:ilvl w:val="0"/>
          <w:numId w:val="1002"/>
        </w:numPr>
        <w:pStyle w:val="Compact"/>
      </w:pPr>
      <w:r>
        <w:rPr>
          <w:bCs/>
          <w:b/>
        </w:rPr>
        <w:t xml:space="preserve">Satisfaction Surveys:</w:t>
      </w:r>
      <w:r>
        <w:t xml:space="preserve"> </w:t>
      </w:r>
      <w:r>
        <w:t xml:space="preserve">Improved scores in annual resident satisfaction surveys regarding municipal services and political responsiveness.</w:t>
      </w:r>
    </w:p>
    <w:p>
      <w:pPr>
        <w:numPr>
          <w:ilvl w:val="0"/>
          <w:numId w:val="1002"/>
        </w:numPr>
        <w:pStyle w:val="Compact"/>
      </w:pPr>
      <w:r>
        <w:rPr>
          <w:bCs/>
          <w:b/>
        </w:rPr>
        <w:t xml:space="preserve">Bridging Divides:</w:t>
      </w:r>
      <w:r>
        <w:t xml:space="preserve"> </w:t>
      </w:r>
      <w:r>
        <w:t xml:space="preserve">Measurable reduction in community conflict regarding cultural or linguistic issues, fostering a more cohesive society in Montreal.</w:t>
      </w:r>
    </w:p>
    <w:bookmarkEnd w:id="30"/>
    <w:bookmarkStart w:id="31" w:name="conclusion"/>
    <w:p>
      <w:pPr>
        <w:pStyle w:val="Heading2"/>
      </w:pPr>
      <w:r>
        <w:t xml:space="preserve">7. Conclusion</w:t>
      </w:r>
    </w:p>
    <w:p>
      <w:pPr>
        <w:pStyle w:val="FirstParagraph"/>
      </w:pPr>
      <w:r>
        <w:t xml:space="preserve">In conclusion, this Project Report underscores the necessity of a tailored approach for any</w:t>
      </w:r>
      <w:r>
        <w:t xml:space="preserve"> </w:t>
      </w:r>
      <w:r>
        <w:rPr>
          <w:bCs/>
          <w:b/>
        </w:rPr>
        <w:t xml:space="preserve">Politician</w:t>
      </w:r>
      <w:r>
        <w:t xml:space="preserve">. operating in Canada, specifically within the vibrant and complex city of Montreal. The intersection of Canadian federal values with Quebec’s distinct cultural identity creates a unique political ecosystem that requires sensitivity, strategic foresight, and technological integration.</w:t>
      </w:r>
    </w:p>
    <w:p>
      <w:pPr>
        <w:pStyle w:val="BodyText"/>
      </w:pPr>
      <w:r>
        <w:t xml:space="preserve">By adhering to the frameworks outlined herein—prioritizing linguistic inclusivity, digital transparency, and hyper-local issue resolution—a</w:t>
      </w:r>
      <w:r>
        <w:t xml:space="preserve"> </w:t>
      </w:r>
      <w:r>
        <w:rPr>
          <w:bCs/>
          <w:b/>
        </w:rPr>
        <w:t xml:space="preserve">Politician</w:t>
      </w:r>
      <w:r>
        <w:t xml:space="preserve">. can effectively serve the people of Montreal. This project aims not just to win elections but to strengthen democratic institutions in Canada by ensuring that the voice of Montreal is heard, understood, and respected on all levels of governance.</w:t>
      </w:r>
    </w:p>
    <w:p>
      <w:pPr>
        <w:pStyle w:val="BodyText"/>
      </w:pPr>
      <w:r>
        <w:t xml:space="preserve">The path forward requires collaboration between government officials, community leaders, and citizens alike. With the proper implementation of this strategic plan Montreal will continue to thrive as a beacon of diversity and innovation within Canada.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Framework for Canada, Montreal</dc:title>
  <dc:creator/>
  <cp:keywords/>
  <dcterms:created xsi:type="dcterms:W3CDTF">2026-07-29T16:56:23Z</dcterms:created>
  <dcterms:modified xsi:type="dcterms:W3CDTF">2026-07-29T16:56:23Z</dcterms:modified>
</cp:coreProperties>
</file>

<file path=docProps/custom.xml><?xml version="1.0" encoding="utf-8"?>
<Properties xmlns="http://schemas.openxmlformats.org/officeDocument/2006/custom-properties" xmlns:vt="http://schemas.openxmlformats.org/officeDocument/2006/docPropsVTypes"/>
</file>