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Political</w:t>
      </w:r>
      <w:r>
        <w:t xml:space="preserve"> </w:t>
      </w:r>
      <w:r>
        <w:t xml:space="preserve">Engagement</w:t>
      </w:r>
      <w:r>
        <w:t xml:space="preserve"> </w:t>
      </w:r>
      <w:r>
        <w:t xml:space="preserve">and</w:t>
      </w:r>
      <w:r>
        <w:t xml:space="preserve"> </w:t>
      </w:r>
      <w:r>
        <w:t xml:space="preserve">Governance</w:t>
      </w:r>
      <w:r>
        <w:t xml:space="preserve"> </w:t>
      </w:r>
      <w:r>
        <w:t xml:space="preserve">in</w:t>
      </w:r>
      <w:r>
        <w:t xml:space="preserve"> </w:t>
      </w:r>
      <w:r>
        <w:t xml:space="preserve">China</w:t>
      </w:r>
      <w:r>
        <w:t xml:space="preserve"> </w:t>
      </w:r>
      <w:r>
        <w:t xml:space="preserve">Guangzhou</w:t>
      </w:r>
    </w:p>
    <w:bookmarkStart w:id="29" w:name="Xe7407e107b46dc3b66afddcc3c1643038e39beb"/>
    <w:p>
      <w:pPr>
        <w:pStyle w:val="Heading1"/>
      </w:pPr>
      <w:r>
        <w:t xml:space="preserve">Project Report: Strategic Political Integration and Civic Engagement Framework in China Guangzhou</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Planning Committee, China Guangzhou</w:t>
      </w:r>
      <w:r>
        <w:br/>
      </w:r>
      <w:r>
        <w:rPr>
          <w:bCs/>
          <w:b/>
        </w:rPr>
        <w:t xml:space="preserve">From:</w:t>
      </w:r>
      <w:r>
        <w:t xml:space="preserve"> </w:t>
      </w:r>
      <w:r>
        <w:t xml:space="preserve">Strategic Governance Advisory Board</w:t>
      </w:r>
      <w:r>
        <w:br/>
      </w:r>
      <w:r>
        <w:t xml:space="preserve">Sustainable Development of Political Infrastructure and Community Relations</w:t>
      </w:r>
    </w:p>
    <w:bookmarkStart w:id="20" w:name="executive-summary"/>
    <w:p>
      <w:pPr>
        <w:pStyle w:val="Heading2"/>
      </w:pPr>
      <w:r>
        <w:t xml:space="preserve">1. Executive Summary</w:t>
      </w:r>
    </w:p>
    <w:p>
      <w:pPr>
        <w:pStyle w:val="FirstParagraph"/>
      </w:pPr>
      <w:r>
        <w:t xml:space="preserve">This project report outlines a comprehensive framework designed to enhance the effectiveness, transparency, and responsiveness of local governance within the dynamic urban landscape of China Guangzhou. As a pivotal hub in the Greater Bay Area, Guangzhou faces unique challenges regarding rapid urbanization, economic diversification, and social cohesion. The central thesis of this document is that an adaptive approach to</w:t>
      </w:r>
      <w:r>
        <w:t xml:space="preserve"> </w:t>
      </w:r>
      <w:r>
        <w:rPr>
          <w:bCs/>
          <w:b/>
        </w:rPr>
        <w:t xml:space="preserve">Politician</w:t>
      </w:r>
      <w:r>
        <w:t xml:space="preserve"> </w:t>
      </w:r>
      <w:r>
        <w:t xml:space="preserve">conduct and public engagement is essential for maintaining stability and fostering innovation. By aligning strategic policy implementation with the specific cultural and economic needs of China Guangzhou, we aim to create a model of governance that serves as a benchmark for modern Chinese metropolises.</w:t>
      </w:r>
    </w:p>
    <w:bookmarkEnd w:id="20"/>
    <w:bookmarkStart w:id="21" w:name="background-and-context"/>
    <w:p>
      <w:pPr>
        <w:pStyle w:val="Heading2"/>
      </w:pPr>
      <w:r>
        <w:t xml:space="preserve">2. Background and Context</w:t>
      </w:r>
    </w:p>
    <w:p>
      <w:pPr>
        <w:pStyle w:val="FirstParagraph"/>
      </w:pPr>
      <w:r>
        <w:rPr>
          <w:bCs/>
          <w:b/>
        </w:rPr>
        <w:t xml:space="preserve">China Guangzhou</w:t>
      </w:r>
      <w:r>
        <w:t xml:space="preserve">, historically known as Canton, has long served as the gateway to China’s southern economy. Its status is not merely economic but deeply political, representing a testing ground for reform and opening-up policies. The city operates under a complex administrative structure where local efficiency must balance with national directives. In recent years, the demographic shift toward a younger, more digitally connected workforce has altered traditional expectations of civic interaction.</w:t>
      </w:r>
    </w:p>
    <w:p>
      <w:pPr>
        <w:pStyle w:val="BodyText"/>
      </w:pPr>
      <w:r>
        <w:t xml:space="preserve">The role of the</w:t>
      </w:r>
      <w:r>
        <w:t xml:space="preserve"> </w:t>
      </w:r>
      <w:r>
        <w:rPr>
          <w:bCs/>
          <w:b/>
        </w:rPr>
        <w:t xml:space="preserve">Politician</w:t>
      </w:r>
      <w:r>
        <w:t xml:space="preserve"> </w:t>
      </w:r>
      <w:r>
        <w:t xml:space="preserve">in this context has evolved from purely administrative oversight to active facilitation of community development. Citizens in China Guangzhou now expect greater transparency and real-time responsiveness from their representatives. This report addresses the necessity of updating engagement protocols to meet these heightened expectations while adhering to the broader political framework governing China.</w:t>
      </w:r>
    </w:p>
    <w:bookmarkEnd w:id="21"/>
    <w:bookmarkStart w:id="22" w:name="objectives"/>
    <w:p>
      <w:pPr>
        <w:pStyle w:val="Heading2"/>
      </w:pPr>
      <w:r>
        <w:t xml:space="preserve">3. Objectives</w:t>
      </w:r>
    </w:p>
    <w:p>
      <w:pPr>
        <w:pStyle w:val="FirstParagraph"/>
      </w:pPr>
      <w:r>
        <w:t xml:space="preserve">The primary objectives of this initiative are threefold:</w:t>
      </w:r>
    </w:p>
    <w:p>
      <w:pPr>
        <w:numPr>
          <w:ilvl w:val="0"/>
          <w:numId w:val="1001"/>
        </w:numPr>
        <w:pStyle w:val="Compact"/>
      </w:pPr>
      <w:r>
        <w:rPr>
          <w:bCs/>
          <w:b/>
        </w:rPr>
        <w:t xml:space="preserve">To Modernize Political Representation:</w:t>
      </w:r>
      <w:r>
        <w:t xml:space="preserve"> </w:t>
      </w:r>
      <w:r>
        <w:t xml:space="preserve">Enhance the capacity of local officials and elected representatives to utilize digital tools for better constituent service.</w:t>
      </w:r>
    </w:p>
    <w:p>
      <w:pPr>
        <w:numPr>
          <w:ilvl w:val="0"/>
          <w:numId w:val="1001"/>
        </w:numPr>
        <w:pStyle w:val="Compact"/>
      </w:pPr>
      <w:r>
        <w:rPr>
          <w:bCs/>
          <w:b/>
        </w:rPr>
        <w:t xml:space="preserve">To Strengthen Community Trust:</w:t>
      </w:r>
      <w:r>
        <w:t xml:space="preserve"> </w:t>
      </w:r>
      <w:r>
        <w:t xml:space="preserve">Implement mechanisms that increase transparency in decision-making processes within China Guangzhou, thereby reducing social friction.</w:t>
      </w:r>
    </w:p>
    <w:p>
      <w:pPr>
        <w:numPr>
          <w:ilvl w:val="0"/>
          <w:numId w:val="1001"/>
        </w:numPr>
        <w:pStyle w:val="Compact"/>
      </w:pPr>
      <w:r>
        <w:rPr>
          <w:bCs/>
          <w:b/>
        </w:rPr>
        <w:t xml:space="preserve">To Promote Economic Stability through Policy:</w:t>
      </w:r>
      <w:r>
        <w:t xml:space="preserve"> </w:t>
      </w:r>
      <w:r>
        <w:t xml:space="preserve">Ensure that political strategies directly support the economic resilience of the region, particularly in sectors like technology and international trade.</w:t>
      </w:r>
    </w:p>
    <w:bookmarkEnd w:id="22"/>
    <w:bookmarkStart w:id="25" w:name="strategic-framework"/>
    <w:p>
      <w:pPr>
        <w:pStyle w:val="Heading2"/>
      </w:pPr>
      <w:r>
        <w:t xml:space="preserve">4. Strategic Framework</w:t>
      </w:r>
    </w:p>
    <w:bookmarkStart w:id="23" w:name="the-evolving-role-of-the-politician"/>
    <w:p>
      <w:pPr>
        <w:pStyle w:val="Heading3"/>
      </w:pPr>
      <w:r>
        <w:t xml:space="preserve">4.1 The Evolving Role of the Politician</w:t>
      </w:r>
    </w:p>
    <w:p>
      <w:pPr>
        <w:pStyle w:val="FirstParagraph"/>
      </w:pPr>
      <w:r>
        <w:t xml:space="preserve">At the heart of this project is a redefinition of what it means to be an effective</w:t>
      </w:r>
      <w:r>
        <w:t xml:space="preserve"> </w:t>
      </w:r>
      <w:r>
        <w:rPr>
          <w:bCs/>
          <w:b/>
        </w:rPr>
        <w:t xml:space="preserve">Po litician</w:t>
      </w:r>
      <w:r>
        <w:t xml:space="preserve"> </w:t>
      </w:r>
      <w:r>
        <w:t xml:space="preserve">in a modern Chinese city. Traditional hierarchies are being supplemented by collaborative governance models. We propose the establishment of "Digital Liaison Offices" where officials can interact directly with residents via secure municipal platforms. This shifts the dynamic from a top-down command structure to a more interactive feedback loop.</w:t>
      </w:r>
    </w:p>
    <w:p>
      <w:pPr>
        <w:pStyle w:val="BodyText"/>
      </w:pPr>
      <w:r>
        <w:t xml:space="preserve">Furthermore, training programs must be instituted to educate</w:t>
      </w:r>
      <w:r>
        <w:t xml:space="preserve"> </w:t>
      </w:r>
      <w:r>
        <w:rPr>
          <w:bCs/>
          <w:b/>
        </w:rPr>
        <w:t xml:space="preserve">Politician</w:t>
      </w:r>
      <w:r>
        <w:t xml:space="preserve">s on data literacy and crisis management. In Guangzhou, where public opinion can spread rapidly through social media, officials must be adept at managing information flow and addressing concerns before they escalate into broader social issues.</w:t>
      </w:r>
    </w:p>
    <w:bookmarkEnd w:id="23"/>
    <w:bookmarkStart w:id="24" w:name="regional-specifics-of-china-guangzhou"/>
    <w:p>
      <w:pPr>
        <w:pStyle w:val="Heading3"/>
      </w:pPr>
      <w:r>
        <w:t xml:space="preserve">4.2 Regional Specifics of China Guangzhou</w:t>
      </w:r>
    </w:p>
    <w:p>
      <w:pPr>
        <w:pStyle w:val="FirstParagraph"/>
      </w:pPr>
      <w:r>
        <w:t xml:space="preserve">The cultural fabric of China Guangzhou is distinct from Beijing or Shanghai. It is characterized by a pragmatic, commercial ethos rooted in its history as a port city. Any political strategy must respect this local identity. For instance, engagement with the traditional commerce sector requires different diplomatic approaches than those used in high-tech industrial zones like Tianhe District.</w:t>
      </w:r>
    </w:p>
    <w:p>
      <w:pPr>
        <w:pStyle w:val="BodyText"/>
      </w:pPr>
      <w:r>
        <w:t xml:space="preserve">Additionally, environmental sustainability is a critical concern for China Guangzhou due to its density and proximity to waterways. The political agenda must prioritize green infrastructure projects, positioning local leadership as stewards of ecological health. This aligns with national goals while addressing local quality-of-life concerns.</w:t>
      </w:r>
    </w:p>
    <w:bookmarkEnd w:id="24"/>
    <w:bookmarkEnd w:id="25"/>
    <w:bookmarkStart w:id="26" w:name="implementation-plan"/>
    <w:p>
      <w:pPr>
        <w:pStyle w:val="Heading2"/>
      </w:pPr>
      <w:r>
        <w:t xml:space="preserve">5. Implementation Plan</w:t>
      </w:r>
    </w:p>
    <w:p>
      <w:pPr>
        <w:numPr>
          <w:ilvl w:val="0"/>
          <w:numId w:val="1002"/>
        </w:numPr>
        <w:pStyle w:val="Compact"/>
      </w:pPr>
      <w:r>
        <w:rPr>
          <w:bCs/>
          <w:b/>
        </w:rPr>
        <w:t xml:space="preserve">Phase 1: Assessment and Training (Months 1-3)</w:t>
      </w:r>
      <w:r>
        <w:t xml:space="preserve">: Conduct a comprehensive audit of current political engagement channels in China Guangzhou. Launch training workshops for officials focusing on digital communication and community mediation.</w:t>
      </w:r>
    </w:p>
    <w:p>
      <w:pPr>
        <w:numPr>
          <w:ilvl w:val="0"/>
          <w:numId w:val="1002"/>
        </w:numPr>
        <w:pStyle w:val="Compact"/>
      </w:pPr>
      <w:r>
        <w:rPr>
          <w:bCs/>
          <w:b/>
        </w:rPr>
        <w:t xml:space="preserve">Phase 2: Pilot Programs (Months 4-9)</w:t>
      </w:r>
      <w:r>
        <w:t xml:space="preserve">: Deploy pilot digital liaison initiatives in select districts, such as Yuexiu and Haizhu. Gather data on response times, citizen satisfaction, and policy clarity.</w:t>
      </w:r>
    </w:p>
    <w:p>
      <w:pPr>
        <w:numPr>
          <w:ilvl w:val="0"/>
          <w:numId w:val="1002"/>
        </w:numPr>
        <w:pStyle w:val="Compact"/>
      </w:pPr>
      <w:r>
        <w:rPr>
          <w:bCs/>
          <w:b/>
        </w:rPr>
        <w:t xml:space="preserve">Phase 3: City-Wide Rollout (Months 10-18)</w:t>
      </w:r>
      <w:r>
        <w:t xml:space="preserve">: Expand successful models across all districts of China Guangzhou. Establish a permanent monitoring board to oversee the performance of the</w:t>
      </w:r>
      <w:r>
        <w:t xml:space="preserve"> </w:t>
      </w:r>
      <w:r>
        <w:rPr>
          <w:bCs/>
          <w:b/>
        </w:rPr>
        <w:t xml:space="preserve">Po litician</w:t>
      </w:r>
      <w:r>
        <w:t xml:space="preserve">-citizen interface.</w:t>
      </w:r>
    </w:p>
    <w:bookmarkEnd w:id="26"/>
    <w:bookmarkStart w:id="27" w:name="expected-outcomes-and-impact"/>
    <w:p>
      <w:pPr>
        <w:pStyle w:val="Heading2"/>
      </w:pPr>
      <w:r>
        <w:t xml:space="preserve">6. Expected Outcomes and Impact</w:t>
      </w:r>
    </w:p>
    <w:p>
      <w:pPr>
        <w:pStyle w:val="FirstParagraph"/>
      </w:pPr>
      <w:r>
        <w:t xml:space="preserve">The successful execution of this project will result in a more resilient governance structure in China Guangzhou. By professionalizing the role of the</w:t>
      </w:r>
      <w:r>
        <w:t xml:space="preserve"> </w:t>
      </w:r>
      <w:r>
        <w:rPr>
          <w:bCs/>
          <w:b/>
        </w:rPr>
        <w:t xml:space="preserve">Po litician</w:t>
      </w:r>
      <w:r>
        <w:t xml:space="preserve">, we anticipate a significant reduction in administrative bottlenecks and an increase in public trust. Citizens will feel more heard, leading to higher compliance with civic regulations and greater participation in local initiatives.</w:t>
      </w:r>
    </w:p>
    <w:p>
      <w:pPr>
        <w:pStyle w:val="BodyText"/>
      </w:pPr>
      <w:r>
        <w:t xml:space="preserve">Economically, a stable political environment attracts foreign investment. Investors seek regions where policy is predictable and transparent. By showcasing Guangzhou as a leader in modern governance, the city can strengthen its position as a global hub for trade and innovation.</w:t>
      </w:r>
    </w:p>
    <w:bookmarkEnd w:id="27"/>
    <w:bookmarkStart w:id="28" w:name="conclusion"/>
    <w:p>
      <w:pPr>
        <w:pStyle w:val="Heading2"/>
      </w:pPr>
      <w:r>
        <w:t xml:space="preserve">7. Conclusion</w:t>
      </w:r>
    </w:p>
    <w:p>
      <w:pPr>
        <w:pStyle w:val="FirstParagraph"/>
      </w:pPr>
      <w:r>
        <w:t xml:space="preserve">In conclusion, this project report underscores the critical importance of adapting political structures to the unique demands of China Guangzhou. The role of the</w:t>
      </w:r>
      <w:r>
        <w:t xml:space="preserve"> </w:t>
      </w:r>
      <w:r>
        <w:rPr>
          <w:bCs/>
          <w:b/>
        </w:rPr>
        <w:t xml:space="preserve">Po litician</w:t>
      </w:r>
      <w:r>
        <w:t xml:space="preserve"> </w:t>
      </w:r>
      <w:r>
        <w:t xml:space="preserve">is no longer static; it requires agility, empathy, and technological savvy. By embracing these changes, China Guangzhou can set a new standard for urban governance in China.</w:t>
      </w:r>
    </w:p>
    <w:p>
      <w:pPr>
        <w:pStyle w:val="BodyText"/>
      </w:pPr>
      <w:r>
        <w:t xml:space="preserve">We recommend immediate approval of the funding and resources required to initiate Phase 1. The future of Guangzhou’s prosperity depends on its ability to harmonize political efficiency with civic engagement, ensuring that every voice within this vibrant metropolis is valued and heard.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Political Engagement and Governance in China Guangzhou</dc:title>
  <dc:creator/>
  <dc:language>en</dc:language>
  <cp:keywords/>
  <dcterms:created xsi:type="dcterms:W3CDTF">2026-07-29T14:32:06Z</dcterms:created>
  <dcterms:modified xsi:type="dcterms:W3CDTF">2026-07-29T14:32:06Z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