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Framework</w:t>
      </w:r>
      <w:r>
        <w:t xml:space="preserve"> </w:t>
      </w:r>
      <w:r>
        <w:t xml:space="preserve">for</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ff65f2aa8dcf0c2d786642a6b321ff38a711270"/>
    <w:p>
      <w:pPr>
        <w:pStyle w:val="Heading1"/>
      </w:pPr>
      <w:r>
        <w:t xml:space="preserve">Project Report: Strategic Engagement Framework for Politician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Strategy Team</w:t>
      </w:r>
      <w:r>
        <w:br/>
      </w:r>
    </w:p>
    <w:p>
      <w:pPr>
        <w:pStyle w:val="BodyText"/>
      </w:pPr>
      <w:r>
        <w:t xml:space="preserve">From:</w:t>
      </w:r>
    </w:p>
    <w:p>
      <w:pPr>
        <w:pStyle w:val="BodyText"/>
      </w:pPr>
      <w:r>
        <w:t xml:space="preserve">Poliitical Operations Directorate</w:t>
      </w:r>
    </w:p>
    <w:p>
      <w:pPr>
        <w:pStyle w:val="BodyText"/>
      </w:pPr>
      <w:r>
        <w:br/>
      </w:r>
    </w:p>
    <w:bookmarkStart w:id="20" w:name="executive-summary"/>
    <w:p>
      <w:pPr>
        <w:pStyle w:val="Heading2"/>
      </w:pPr>
      <w:r>
        <w:t xml:space="preserve">1. Executive Summary</w:t>
      </w:r>
    </w:p>
    <w:p>
      <w:pPr>
        <w:pStyle w:val="FirstParagraph"/>
      </w:pPr>
      <w:r>
        <w:t xml:space="preserve">This Project Report outlines a comprehensive strategic framework designed to optimize the operational efficacy, public perception, and legislative impact of a</w:t>
      </w:r>
      <w:r>
        <w:t xml:space="preserve"> </w:t>
      </w:r>
      <w:r>
        <w:rPr>
          <w:bCs/>
          <w:b/>
        </w:rPr>
        <w:t xml:space="preserve">Polician</w:t>
      </w:r>
      <w:r>
        <w:t xml:space="preserve"> </w:t>
      </w:r>
      <w:r>
        <w:t xml:space="preserve">operating within the unique political ecosystem of</w:t>
      </w:r>
      <w:r>
        <w:t xml:space="preserve"> </w:t>
      </w:r>
      <w:r>
        <w:rPr>
          <w:bCs/>
          <w:b/>
        </w:rPr>
        <w:t xml:space="preserve">New Zealand Wellington</w:t>
      </w:r>
      <w:r>
        <w:t xml:space="preserve">. As the capital city and seat of government for New Zealand, Wellington presents distinct challenges and opportunities that differ significantly from other metropolitan centers in Australasia. This document argues that successful political leadership in this region requires a nuanced understanding of local civic dynamics, national legislative responsibilities, and the specific socio-economic fabric of the capital.</w:t>
      </w:r>
    </w:p>
    <w:p>
      <w:pPr>
        <w:pStyle w:val="BodyText"/>
      </w:pPr>
      <w:r>
        <w:t xml:space="preserve">The primary objective of this project is to establish a robust engagement model that connects the</w:t>
      </w:r>
      <w:r>
        <w:t xml:space="preserve"> </w:t>
      </w:r>
      <w:r>
        <w:rPr>
          <w:bCs/>
          <w:b/>
        </w:rPr>
        <w:t xml:space="preserve">Polician</w:t>
      </w:r>
      <w:r>
        <w:t xml:space="preserve"> </w:t>
      </w:r>
      <w:r>
        <w:t xml:space="preserve">effectively with constituents across Wellington’s diverse suburbs while maintaining high visibility in parliamentary proceedings. By leveraging data-driven insights and community-centric methodologies, we aim to enhance trust, improve policy outcomes, and secure long-term electoral stability for the representative in question.</w:t>
      </w:r>
    </w:p>
    <w:bookmarkEnd w:id="20"/>
    <w:bookmarkStart w:id="21" w:name="Xa82e001e1af37d5e1d9d683b1e42d25038b8ec6"/>
    <w:p>
      <w:pPr>
        <w:pStyle w:val="Heading2"/>
      </w:pPr>
      <w:r>
        <w:t xml:space="preserve">2. Contextual Analysis: The Wellington Political Landscape</w:t>
      </w:r>
    </w:p>
    <w:p>
      <w:pPr>
        <w:pStyle w:val="FirstParagraph"/>
      </w:pPr>
      <w:r>
        <w:t xml:space="preserve">To understand the trajectory required for this</w:t>
      </w:r>
      <w:r>
        <w:t xml:space="preserve"> </w:t>
      </w:r>
      <w:r>
        <w:rPr>
          <w:bCs/>
          <w:b/>
        </w:rPr>
        <w:t xml:space="preserve">Polician</w:t>
      </w:r>
      <w:r>
        <w:t xml:space="preserve">, one must first analyze the specific environment of</w:t>
      </w:r>
      <w:r>
        <w:t xml:space="preserve"> </w:t>
      </w:r>
      <w:r>
        <w:rPr>
          <w:bCs/>
          <w:b/>
        </w:rPr>
        <w:t xml:space="preserve">New Zealand Wellington</w:t>
      </w:r>
      <w:r>
        <w:t xml:space="preserve">. Unlike Auckland, which functions as an economic powerhouse with a more business-oriented electorate, Wellington serves as the political and cultural heart of New Zealand. The electorate is characterized by high levels of education, progressive social values, and intense civic engagement.</w:t>
      </w:r>
    </w:p>
    <w:p>
      <w:pPr>
        <w:pStyle w:val="BodyText"/>
      </w:pPr>
      <w:r>
        <w:rPr>
          <w:bCs/>
          <w:b/>
        </w:rPr>
        <w:t xml:space="preserve">New Zealand Wellington</w:t>
      </w:r>
      <w:r>
        <w:t xml:space="preserve"> </w:t>
      </w:r>
      <w:r>
        <w:t xml:space="preserve">is not merely a city; it is the hub of national administration. Consequently, residents expect a higher degree of accountability from their local representatives regarding both municipal issues (handled by the Wellington City Council) and national policies (managed by Parliament in Beehive). For any</w:t>
      </w:r>
      <w:r>
        <w:t xml:space="preserve"> </w:t>
      </w:r>
      <w:r>
        <w:rPr>
          <w:bCs/>
          <w:b/>
        </w:rPr>
        <w:t xml:space="preserve">Polician</w:t>
      </w:r>
      <w:r>
        <w:t xml:space="preserve"> </w:t>
      </w:r>
      <w:r>
        <w:t xml:space="preserve">operating here, the line between local service delivery and national advocacy is porous. Failure to address housing affordability, transport connectivity across the Hutt Valley and Lower Hutt, or environmental sustainability targets will result in swift political repercussions.</w:t>
      </w:r>
    </w:p>
    <w:p>
      <w:pPr>
        <w:pStyle w:val="BodyText"/>
      </w:pPr>
      <w:r>
        <w:t xml:space="preserve">Furthermore, the demographic diversity of Wellington—including significant Māori populations, Pacific Islander communities, and a vibrant multicultural expatriate sector—demands an inclusive approach. The</w:t>
      </w:r>
      <w:r>
        <w:t xml:space="preserve"> </w:t>
      </w:r>
      <w:r>
        <w:rPr>
          <w:bCs/>
          <w:b/>
        </w:rPr>
        <w:t xml:space="preserve">Polician</w:t>
      </w:r>
      <w:r>
        <w:t xml:space="preserve"> </w:t>
      </w:r>
      <w:r>
        <w:t xml:space="preserve">must navigate Treaty of Waitangi obligations with diligence, ensuring that Indigenous perspectives are integrated into policy formulation at every level.</w:t>
      </w:r>
    </w:p>
    <w:bookmarkEnd w:id="21"/>
    <w:bookmarkStart w:id="25" w:name="strategic-objectives-for-the-politician"/>
    <w:p>
      <w:pPr>
        <w:pStyle w:val="Heading2"/>
      </w:pPr>
      <w:r>
        <w:t xml:space="preserve">3. Strategic Objectives for the Politician</w:t>
      </w:r>
    </w:p>
    <w:p>
      <w:pPr>
        <w:pStyle w:val="FirstParagraph"/>
      </w:pPr>
      <w:r>
        <w:t xml:space="preserve">The core objectives of this project are structured around three pillars: Visibility, Accessibility, and Accountability.</w:t>
      </w:r>
    </w:p>
    <w:bookmarkStart w:id="22" w:name="X1eb4bd039cc90f0b51b2de41882f14378831c30"/>
    <w:p>
      <w:pPr>
        <w:pStyle w:val="Heading3"/>
      </w:pPr>
      <w:r>
        <w:t xml:space="preserve">3.1 Enhanced Visibility in National Discourse</w:t>
      </w:r>
    </w:p>
    <w:p>
      <w:pPr>
        <w:pStyle w:val="FirstParagraph"/>
      </w:pPr>
      <w:r>
        <w:t xml:space="preserve">The</w:t>
      </w:r>
      <w:r>
        <w:t xml:space="preserve"> </w:t>
      </w:r>
      <w:r>
        <w:rPr>
          <w:bCs/>
          <w:b/>
        </w:rPr>
        <w:t xml:space="preserve">Polician</w:t>
      </w:r>
      <w:r>
        <w:t xml:space="preserve">, like any other member of Parliament based in Wellington, must maintain a strong presence not only locally but nationally. This involves active participation in select committees, media engagements, and parliamentary debates. The strategy includes training the</w:t>
      </w:r>
      <w:r>
        <w:t xml:space="preserve"> </w:t>
      </w:r>
      <w:r>
        <w:rPr>
          <w:bCs/>
          <w:b/>
        </w:rPr>
        <w:t xml:space="preserve">Polician</w:t>
      </w:r>
      <w:r>
        <w:t xml:space="preserve"> </w:t>
      </w:r>
      <w:r>
        <w:t xml:space="preserve">to articulate how national policies impact Wellington residents specifically. For instance, when discussing health reforms or education budgets in Parliament, the narrative should always tie back to outcomes for hospitals like Hutt Hospital or schools in Newtown.</w:t>
      </w:r>
    </w:p>
    <w:bookmarkEnd w:id="22"/>
    <w:bookmarkStart w:id="23" w:name="Xe46a10ad295195a11394c2174800eca3901652a"/>
    <w:p>
      <w:pPr>
        <w:pStyle w:val="Heading3"/>
      </w:pPr>
      <w:r>
        <w:t xml:space="preserve">2. Hyper-Local Accessibility and Community Connection</w:t>
      </w:r>
    </w:p>
    <w:p>
      <w:pPr>
        <w:pStyle w:val="FirstParagraph"/>
      </w:pPr>
      <w:r>
        <w:rPr>
          <w:bCs/>
          <w:b/>
        </w:rPr>
        <w:t xml:space="preserve">New Zealand Wellington</w:t>
      </w:r>
      <w:r>
        <w:t xml:space="preserve"> </w:t>
      </w:r>
      <w:r>
        <w:t xml:space="preserve">has a compact geography but complex social stratification. The strategy proposes a "Boots on the Ground" initiative where the</w:t>
      </w:r>
      <w:r>
        <w:t xml:space="preserve"> </w:t>
      </w:r>
      <w:r>
        <w:rPr>
          <w:bCs/>
          <w:b/>
        </w:rPr>
        <w:t xml:space="preserve">Polician</w:t>
      </w:r>
      <w:r>
        <w:t xml:space="preserve"> </w:t>
      </w:r>
      <w:r>
        <w:t xml:space="preserve">conducts weekly town halls in key suburbs such as Thorndon, Karori, and Petone. These sessions are not merely for speeches but for active listening. Digital accessibility is equally crucial; given Wellington’s tech-savvy population, maintaining an active presence on professional networks and local digital forums is essential to counter misinformation and engage younger voters who rarely attend physical rallies.</w:t>
      </w:r>
    </w:p>
    <w:bookmarkEnd w:id="23"/>
    <w:bookmarkStart w:id="24" w:name="Xbaf5f9715159c08a1daed697d7b9967d25a07fd"/>
    <w:p>
      <w:pPr>
        <w:pStyle w:val="Heading3"/>
      </w:pPr>
      <w:r>
        <w:t xml:space="preserve">3. Policy Accountability and Deliverable Focus</w:t>
      </w:r>
    </w:p>
    <w:p>
      <w:pPr>
        <w:pStyle w:val="FirstParagraph"/>
      </w:pPr>
      <w:r>
        <w:t xml:space="preserve">Voters in</w:t>
      </w:r>
      <w:r>
        <w:t xml:space="preserve"> </w:t>
      </w:r>
      <w:r>
        <w:rPr>
          <w:bCs/>
          <w:b/>
        </w:rPr>
        <w:t xml:space="preserve">New Zealand Wellington</w:t>
      </w:r>
      <w:r>
        <w:t xml:space="preserve"> </w:t>
      </w:r>
      <w:r>
        <w:t xml:space="preserve">are increasingly skeptical of empty promises. The project report recommends the implementation of a "Policy Dashboard" accessible via the</w:t>
      </w:r>
      <w:r>
        <w:t xml:space="preserve"> </w:t>
      </w:r>
      <w:r>
        <w:rPr>
          <w:bCs/>
          <w:b/>
        </w:rPr>
        <w:t xml:space="preserve">Polician</w:t>
      </w:r>
      <w:r>
        <w:t xml:space="preserve">'s official website. This digital tool will track key commitments, such as improvements in public transport reliability or reductions in council rates, providing real-time updates on progress. Transparency is the currency of trust in modern democracy.</w:t>
      </w:r>
    </w:p>
    <w:bookmarkEnd w:id="24"/>
    <w:bookmarkEnd w:id="25"/>
    <w:bookmarkStart w:id="26" w:name="X8c485bf2398b5564c91d72d123e110ce24f126e"/>
    <w:p>
      <w:pPr>
        <w:pStyle w:val="Heading2"/>
      </w:pPr>
      <w:r>
        <w:t xml:space="preserve">4. Operational Challenges and Mitigation Strategies</w:t>
      </w:r>
    </w:p>
    <w:p>
      <w:pPr>
        <w:pStyle w:val="FirstParagraph"/>
      </w:pPr>
      <w:r>
        <w:t xml:space="preserve">The implementation of this framework faces several hurdles. One significant challenge is the "Wellington Bubble" phenomenon, where political elites become disconnected from everyday struggles due to their proximity to power centers like Parliament and Lambton Quay.</w:t>
      </w:r>
    </w:p>
    <w:p>
      <w:pPr>
        <w:pStyle w:val="BodyText"/>
      </w:pPr>
      <w:r>
        <w:rPr>
          <w:bCs/>
          <w:b/>
        </w:rPr>
        <w:t xml:space="preserve">Mitigation Strategy:</w:t>
      </w:r>
      <w:r>
        <w:t xml:space="preserve"> </w:t>
      </w:r>
      <w:r>
        <w:t xml:space="preserve">To counteract this, the</w:t>
      </w:r>
      <w:r>
        <w:t xml:space="preserve"> </w:t>
      </w:r>
      <w:r>
        <w:rPr>
          <w:bCs/>
          <w:b/>
        </w:rPr>
        <w:t xml:space="preserve">Polician</w:t>
      </w:r>
      <w:r>
        <w:t xml:space="preserve"> </w:t>
      </w:r>
      <w:r>
        <w:t xml:space="preserve">will be required to spend a minimum of 20% of their office hours outside the parliamentary precincts, engaging directly with small business owners in Cuba Street or community groups in Tawa. This ensures that policy decisions remain grounded in reality.</w:t>
      </w:r>
    </w:p>
    <w:p>
      <w:pPr>
        <w:pStyle w:val="BodyText"/>
      </w:pPr>
      <w:r>
        <w:t xml:space="preserve">Another challenge is the high media scrutiny inherent to being based in</w:t>
      </w:r>
      <w:r>
        <w:t xml:space="preserve"> </w:t>
      </w:r>
      <w:r>
        <w:rPr>
          <w:bCs/>
          <w:b/>
        </w:rPr>
        <w:t xml:space="preserve">New Zealand Wellington</w:t>
      </w:r>
      <w:r>
        <w:t xml:space="preserve">. Journalists are abundant and aggressive. Therefore, crisis communication protocols must be rigorously tested. The</w:t>
      </w:r>
      <w:r>
        <w:t xml:space="preserve"> </w:t>
      </w:r>
      <w:r>
        <w:rPr>
          <w:bCs/>
          <w:b/>
        </w:rPr>
        <w:t xml:space="preserve">Polician</w:t>
      </w:r>
      <w:r>
        <w:t xml:space="preserve"> </w:t>
      </w:r>
      <w:r>
        <w:t xml:space="preserve">must be trained to respond with empathy and factual precision, avoiding defensive posturing that can escalate minor issues into major scandals.</w:t>
      </w:r>
    </w:p>
    <w:bookmarkEnd w:id="26"/>
    <w:bookmarkStart w:id="27" w:name="stakeholder-engagement-plan"/>
    <w:p>
      <w:pPr>
        <w:pStyle w:val="Heading2"/>
      </w:pPr>
      <w:r>
        <w:t xml:space="preserve">5. Stakeholder Engagement Plan</w:t>
      </w:r>
    </w:p>
    <w:p>
      <w:pPr>
        <w:pStyle w:val="FirstParagraph"/>
      </w:pPr>
      <w:r>
        <w:t xml:space="preserve">A successful</w:t>
      </w:r>
      <w:r>
        <w:t xml:space="preserve"> </w:t>
      </w:r>
      <w:r>
        <w:rPr>
          <w:bCs/>
          <w:b/>
        </w:rPr>
        <w:t xml:space="preserve">Polician</w:t>
      </w:r>
      <w:r>
        <w:t xml:space="preserve"> </w:t>
      </w:r>
      <w:r>
        <w:t xml:space="preserve">cannot operate in isolation. The engagement plan identifies four key stakeholder groups:</w:t>
      </w:r>
    </w:p>
    <w:p>
      <w:pPr>
        <w:numPr>
          <w:ilvl w:val="0"/>
          <w:numId w:val="1001"/>
        </w:numPr>
        <w:pStyle w:val="Compact"/>
      </w:pPr>
      <w:r>
        <w:rPr>
          <w:bCs/>
          <w:b/>
        </w:rPr>
        <w:t xml:space="preserve">Civic Leaders:</w:t>
      </w:r>
      <w:r>
        <w:t xml:space="preserve"> </w:t>
      </w:r>
      <w:r>
        <w:t xml:space="preserve">Regular dialogue with the Wellington City Council mayors and regional council members to align local infrastructure projects with national funding.</w:t>
      </w:r>
    </w:p>
    <w:p>
      <w:pPr>
        <w:numPr>
          <w:ilvl w:val="0"/>
          <w:numId w:val="1001"/>
        </w:numPr>
        <w:pStyle w:val="Compact"/>
      </w:pPr>
      <w:r>
        <w:rPr>
          <w:bCs/>
          <w:b/>
        </w:rPr>
        <w:t xml:space="preserve">Iwi Representatives:</w:t>
      </w:r>
      <w:r>
        <w:t xml:space="preserve"> </w:t>
      </w:r>
      <w:r>
        <w:t xml:space="preserve">Structured partnerships with local Māori iwi to ensure cultural competency in all policy decisions, honoring the principles of partnership and participation under Te Tiriti o Waitangi.</w:t>
      </w:r>
    </w:p>
    <w:p>
      <w:pPr>
        <w:numPr>
          <w:ilvl w:val="0"/>
          <w:numId w:val="1001"/>
        </w:numPr>
        <w:pStyle w:val="Compact"/>
      </w:pPr>
      <w:r>
        <w:rPr>
          <w:bCs/>
          <w:b/>
        </w:rPr>
        <w:t xml:space="preserve">Youth Organizations:</w:t>
      </w:r>
      <w:r>
        <w:t xml:space="preserve"> </w:t>
      </w:r>
      <w:r>
        <w:t xml:space="preserve">Engagement with university students at Victoria University and Massey University to shape long-term educational policies.</w:t>
      </w:r>
    </w:p>
    <w:p>
      <w:pPr>
        <w:numPr>
          <w:ilvl w:val="0"/>
          <w:numId w:val="1001"/>
        </w:numPr>
        <w:pStyle w:val="Compact"/>
      </w:pPr>
      <w:r>
        <w:rPr>
          <w:bCs/>
          <w:b/>
        </w:rPr>
        <w:t xml:space="preserve">Business Communities:</w:t>
      </w:r>
      <w:r>
        <w:t xml:space="preserve"> </w:t>
      </w:r>
      <w:r>
        <w:t xml:space="preserve">Collaboration with Wellington Chamber of Commerce to foster economic resilience and innovation hubs within the capital city.</w:t>
      </w:r>
    </w:p>
    <w:bookmarkEnd w:id="27"/>
    <w:bookmarkStart w:id="28" w:name="conclusion-and-recommendations"/>
    <w:p>
      <w:pPr>
        <w:pStyle w:val="Heading2"/>
      </w:pPr>
      <w:r>
        <w:t xml:space="preserve">6. Conclusion and Recommendations</w:t>
      </w:r>
    </w:p>
    <w:p>
      <w:pPr>
        <w:pStyle w:val="FirstParagraph"/>
      </w:pPr>
      <w:r>
        <w:t xml:space="preserve">In conclusion, the role of a</w:t>
      </w:r>
      <w:r>
        <w:t xml:space="preserve"> </w:t>
      </w:r>
      <w:r>
        <w:rPr>
          <w:bCs/>
          <w:b/>
        </w:rPr>
        <w:t xml:space="preserve">Polician</w:t>
      </w:r>
      <w:r>
        <w:t xml:space="preserve"> </w:t>
      </w:r>
      <w:r>
        <w:t xml:space="preserve">in</w:t>
      </w:r>
      <w:r>
        <w:t xml:space="preserve"> </w:t>
      </w:r>
      <w:r>
        <w:rPr>
          <w:bCs/>
          <w:b/>
        </w:rPr>
        <w:t xml:space="preserve">New Zealand Wellington</w:t>
      </w:r>
    </w:p>
    <w:p>
      <w:pPr>
        <w:pStyle w:val="BodyText"/>
      </w:pPr>
      <w:r>
        <w:t xml:space="preserve">This Project Report has established that success in this arena requires a dual-focus strategy: deep local engagement combined with robust national advocacy. The unique characteristics of</w:t>
      </w:r>
      <w:r>
        <w:t xml:space="preserve"> </w:t>
      </w:r>
      <w:r>
        <w:rPr>
          <w:bCs/>
          <w:b/>
        </w:rPr>
        <w:t xml:space="preserve">New Zealand Wellington</w:t>
      </w:r>
      <w:r>
        <w:t xml:space="preserve">, from its progressive electorate to its complex infrastructure needs, demand a political leader who is both an effective legislator and a compassionate community servant.</w:t>
      </w:r>
    </w:p>
    <w:p>
      <w:pPr>
        <w:pStyle w:val="BodyText"/>
      </w:pPr>
      <w:r>
        <w:t xml:space="preserve">We recommend immediate implementation of the "Boots on the Ground" accessibility initiatives and the development of the Policy Dashboard. By adhering to this strategic framework, the</w:t>
      </w:r>
      <w:r>
        <w:t xml:space="preserve"> </w:t>
      </w:r>
      <w:r>
        <w:rPr>
          <w:bCs/>
          <w:b/>
        </w:rPr>
        <w:t xml:space="preserve">Polician</w:t>
      </w:r>
      <w:r>
        <w:t xml:space="preserve"> </w:t>
      </w:r>
      <w:r>
        <w:t xml:space="preserve">will not only enhance their personal political capital but also contribute significantly to the social and economic well-being of</w:t>
      </w:r>
      <w:r>
        <w:t xml:space="preserve"> </w:t>
      </w:r>
      <w:r>
        <w:rPr>
          <w:bCs/>
          <w:b/>
        </w:rPr>
        <w:t xml:space="preserve">New Zealand Wellington</w:t>
      </w:r>
      <w:r>
        <w:t xml:space="preserve">. The time for incremental change is over; a bold, transparent, and community-driven approach is now required to meet the expectations of this vital electorate.</w:t>
      </w:r>
    </w:p>
    <w:p>
      <w:pPr>
        <w:pStyle w:val="BodyText"/>
      </w:pPr>
      <w:r>
        <w:rPr>
          <w:iCs/>
          <w:i/>
        </w:rPr>
        <w:t xml:space="preserve">Disclaimer: This document is for internal strategic planning purposes only. All names and specific policy details have been generalized for the purpose of this report template.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Engagement Framework for Politician in New Zealand Wellington</dc:title>
  <dc:creator/>
  <dc:language>en</dc:language>
  <cp:keywords/>
  <dcterms:created xsi:type="dcterms:W3CDTF">2026-07-30T02:25:25Z</dcterms:created>
  <dcterms:modified xsi:type="dcterms:W3CDTF">2026-07-30T02:25:25Z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