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Strategy</w:t>
      </w:r>
      <w:r>
        <w:t xml:space="preserve"> </w:t>
      </w:r>
      <w:r>
        <w:t xml:space="preserve">and</w:t>
      </w:r>
      <w:r>
        <w:t xml:space="preserve"> </w:t>
      </w:r>
      <w:r>
        <w:t xml:space="preserve">Engagement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229c2c7bb88759b0c06d1fe4ce66fb2a71eff39"/>
    <w:p>
      <w:pPr>
        <w:pStyle w:val="Heading1"/>
      </w:pPr>
      <w:r>
        <w:t xml:space="preserve">Project Report: Strategic Political Engagement in Russia Moscow</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w:t>
      </w:r>
    </w:p>
    <w:p>
      <w:pPr>
        <w:pStyle w:val="BodyText"/>
      </w:pPr>
      <w:r>
        <w:t xml:space="preserve">From:: Political Analysis Division</w:t>
      </w:r>
    </w:p>
    <w:bookmarkEnd w:id="20"/>
    <w:p>
      <w:pPr>
        <w:pStyle w:val="BodyText"/>
      </w:pPr>
      <w:r>
        <w:t xml:space="preserve">&amp;amp;</w:t>
      </w:r>
    </w:p>
    <w:p>
      <w:pPr>
        <w:pStyle w:val="BodyText"/>
      </w:pPr>
      <w:r>
        <w:t xml:space="preserve">;</w:t>
      </w:r>
    </w:p>
    <w:bookmarkStart w:id="33" w:name="X1cddc27d1875212010dea0e50f6d3419f4fb7a2"/>
    <w:p>
      <w:pPr>
        <w:pStyle w:val="Heading1"/>
      </w:pPr>
      <w:r>
        <w:t xml:space="preserve">Project Report: Political Strategy and Engagement in Russia, Moscow</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Directors</w:t>
      </w:r>
    </w:p>
    <w:p>
      <w:pPr>
        <w:pStyle w:val="BodyText"/>
      </w:pPr>
      <w:r>
        <w:rPr>
          <w:bCs/>
          <w:b/>
        </w:rPr>
        <w:t xml:space="preserve">From:</w:t>
      </w:r>
      <w:r>
        <w:t xml:space="preserve"> </w:t>
      </w:r>
      <w:r>
        <w:t xml:space="preserve">Senior Political Analysts</w:t>
      </w:r>
    </w:p>
    <w:p>
      <w:pPr>
        <w:pStyle w:val="BodyText"/>
      </w:pPr>
      <w:r>
        <w:t xml:space="preserve">: Comprehensive Analysis of the Politician Role within the Context of Russia Moscow Strategic Operations.</w:t>
      </w:r>
    </w:p>
    <w:bookmarkStart w:id="21" w:name="executive-summary"/>
    <w:p>
      <w:pPr>
        <w:pStyle w:val="Heading2"/>
      </w:pPr>
      <w:r>
        <w:t xml:space="preserve">1. Executive Summary</w:t>
      </w:r>
    </w:p>
    <w:p>
      <w:pPr>
        <w:pStyle w:val="FirstParagraph"/>
      </w:pPr>
      <w:r>
        <w:t xml:space="preserve">This Project Report provides a detailed analysis of the current political landscape in Russia, with a specific focus on the capital city, Moscow. The primary objective of this document is to examine the role, responsibilities, and strategic implications of a</w:t>
      </w:r>
      <w:r>
        <w:t xml:space="preserve"> </w:t>
      </w:r>
      <w:r>
        <w:rPr>
          <w:bCs/>
          <w:b/>
        </w:rPr>
        <w:t xml:space="preserve">Politician</w:t>
      </w:r>
      <w:r>
        <w:t xml:space="preserve"> </w:t>
      </w:r>
      <w:r>
        <w:t xml:space="preserve">operating within this complex geopolitical environment. Understanding the nuances of power dynamics in</w:t>
      </w:r>
      <w:r>
        <w:t xml:space="preserve"> </w:t>
      </w:r>
      <w:r>
        <w:rPr>
          <w:bCs/>
          <w:b/>
        </w:rPr>
        <w:t xml:space="preserve">Russia Moscow</w:t>
      </w:r>
      <w:r>
        <w:t xml:space="preserve"> </w:t>
      </w:r>
      <w:r>
        <w:t xml:space="preserve">is essential for any entity seeking to engage in diplomatic, commercial, or civil society initiatives. This report outlines the structural challenges, the influence of central authority on local governance in Moscow, and the necessary competencies required for effective political engagement.</w:t>
      </w:r>
    </w:p>
    <w:bookmarkEnd w:id="21"/>
    <w:bookmarkStart w:id="22" w:name="contextual-background"/>
    <w:p>
      <w:pPr>
        <w:pStyle w:val="Heading2"/>
      </w:pPr>
      <w:r>
        <w:t xml:space="preserve">2. Contextual Background: The Political Landscape of Russia</w:t>
      </w:r>
    </w:p>
    <w:p>
      <w:pPr>
        <w:pStyle w:val="FirstParagraph"/>
      </w:pPr>
      <w:r>
        <w:t xml:space="preserve">Russia operates as a semi-presidential republic, but in practice, power is heavily centralized around the executive branch. For any aspiring or active</w:t>
      </w:r>
      <w:r>
        <w:t xml:space="preserve"> </w:t>
      </w:r>
      <w:r>
        <w:rPr>
          <w:bCs/>
          <w:b/>
        </w:rPr>
        <w:t xml:space="preserve">Politician</w:t>
      </w:r>
      <w:r>
        <w:t xml:space="preserve">, understanding this centralization is paramount. The Federal Assembly serves as the legislative body, yet its role in checking executive power has evolved significantly over the past two decades.</w:t>
      </w:r>
    </w:p>
    <w:p>
      <w:pPr>
        <w:pStyle w:val="BodyText"/>
      </w:pPr>
      <w:r>
        <w:t xml:space="preserve">The political system in Russia is characterized by a dominant party system, with United Russia historically holding a majority. However, recent years have seen shifts in parliamentary dynamics and an increased emphasis on "sovereign democracy." A</w:t>
      </w:r>
      <w:r>
        <w:t xml:space="preserve"> </w:t>
      </w:r>
      <w:r>
        <w:rPr>
          <w:bCs/>
          <w:b/>
        </w:rPr>
        <w:t xml:space="preserve">Politician</w:t>
      </w:r>
      <w:r>
        <w:t xml:space="preserve"> </w:t>
      </w:r>
      <w:r>
        <w:t xml:space="preserve">navigating this environment must possess not only legislative acumen but also the ability to align with broader state narratives regarding national sovereignty and stability.</w:t>
      </w:r>
    </w:p>
    <w:p>
      <w:pPr>
        <w:pStyle w:val="BodyText"/>
      </w:pPr>
      <w:r>
        <w:t xml:space="preserve">Furthermore, the geopolitical tensions affecting Russia globally have intensified domestic political discourse. National security has become a central pillar of political identity, influencing everything from foreign policy decisions to internal social policies. For stakeholders interested in</w:t>
      </w:r>
      <w:r>
        <w:t xml:space="preserve"> </w:t>
      </w:r>
      <w:r>
        <w:rPr>
          <w:bCs/>
          <w:b/>
        </w:rPr>
        <w:t xml:space="preserve">Russia Moscow</w:t>
      </w:r>
      <w:r>
        <w:t xml:space="preserve">, it is crucial to recognize that local policies are often extensions of federal strategic goals.</w:t>
      </w:r>
    </w:p>
    <w:bookmarkEnd w:id="22"/>
    <w:bookmarkStart w:id="26" w:name="moscow-specific-dynamics"/>
    <w:p>
      <w:pPr>
        <w:pStyle w:val="Heading2"/>
      </w:pPr>
      <w:r>
        <w:t xml:space="preserve">3. The Unique Case of Russia Moscow</w:t>
      </w:r>
    </w:p>
    <w:p>
      <w:pPr>
        <w:pStyle w:val="FirstParagraph"/>
      </w:pPr>
      <w:r>
        <w:t xml:space="preserve">Moscow is not merely the capital; it is the economic, cultural, and political heart of</w:t>
      </w:r>
      <w:r>
        <w:t xml:space="preserve"> </w:t>
      </w:r>
      <w:r>
        <w:rPr>
          <w:bCs/>
          <w:b/>
        </w:rPr>
        <w:t xml:space="preserve">Russia</w:t>
      </w:r>
      <w:r>
        <w:t xml:space="preserve">. As a federal city with special status, Moscow’s governance structure differs slightly from other regions in the federation. The Mayor of Moscow holds significant executive power, often rivaling that of regional governors. Therefore, a</w:t>
      </w:r>
      <w:r>
        <w:t xml:space="preserve"> </w:t>
      </w:r>
      <w:r>
        <w:rPr>
          <w:bCs/>
          <w:b/>
        </w:rPr>
        <w:t xml:space="preserve">Politician</w:t>
      </w:r>
      <w:r>
        <w:t xml:space="preserve"> </w:t>
      </w:r>
      <w:r>
        <w:t xml:space="preserve">targeting the Moscow market or engaging with local authorities must understand this distinct hierarchical layer.</w:t>
      </w:r>
    </w:p>
    <w:bookmarkStart w:id="23" w:name="moscow-governance"/>
    <w:p>
      <w:pPr>
        <w:pStyle w:val="Heading3"/>
      </w:pPr>
      <w:r>
        <w:t xml:space="preserve">3.1 Governance and Administration</w:t>
      </w:r>
    </w:p>
    <w:p>
      <w:pPr>
        <w:pStyle w:val="FirstParagraph"/>
      </w:pPr>
      <w:r>
        <w:t xml:space="preserve">The Government of Moscow manages urban planning, transportation, public services, and local economic development. For international observers or participants, the efficiency of Moscow’s administration is often cited as superior to other Russian regions due to higher tax revenues and resource concentration. However, this centralization also means that political decisions in Moscow are tightly integrated with federal priorities.</w:t>
      </w:r>
    </w:p>
    <w:bookmarkEnd w:id="23"/>
    <w:bookmarkStart w:id="24" w:name="social-economic-factors"/>
    <w:p>
      <w:pPr>
        <w:pStyle w:val="Heading3"/>
      </w:pPr>
      <w:r>
        <w:t xml:space="preserve">3.2 Socio-Economic Factors</w:t>
      </w:r>
    </w:p>
    <w:p>
      <w:pPr>
        <w:pStyle w:val="FirstParagraph"/>
      </w:pPr>
      <w:r>
        <w:t xml:space="preserve">Moscow hosts a diverse population, ranging from wealthy elites to service workers migrating from other regions. A successful</w:t>
      </w:r>
      <w:r>
        <w:t xml:space="preserve"> </w:t>
      </w:r>
      <w:r>
        <w:rPr>
          <w:bCs/>
          <w:b/>
        </w:rPr>
        <w:t xml:space="preserve">Politician</w:t>
      </w:r>
      <w:r>
        <w:t xml:space="preserve"> </w:t>
      </w:r>
      <w:r>
        <w:t xml:space="preserve">in this context must balance the interests of these disparate groups. The cost of living is high, and housing affordability remains a critical issue. Political platforms that address urban infrastructure, digitalization of services ("Smart City" initiatives), and public transportation efficiency tend to resonate strongly with the Moscow electorate.</w:t>
      </w:r>
    </w:p>
    <w:bookmarkEnd w:id="24"/>
    <w:bookmarkStart w:id="25" w:name="digital-transformation"/>
    <w:p>
      <w:pPr>
        <w:pStyle w:val="Heading3"/>
      </w:pPr>
      <w:r>
        <w:t xml:space="preserve">3.3 Digital Transformation</w:t>
      </w:r>
    </w:p>
    <w:p>
      <w:pPr>
        <w:pStyle w:val="FirstParagraph"/>
      </w:pPr>
      <w:r>
        <w:rPr>
          <w:bCs/>
          <w:b/>
        </w:rPr>
        <w:t xml:space="preserve">Russia Moscow</w:t>
      </w:r>
      <w:r>
        <w:t xml:space="preserve"> </w:t>
      </w:r>
      <w:r>
        <w:t xml:space="preserve">is at the forefront of digital governance in Russia. The integration of digital platforms for voting, public feedback, and service delivery has transformed political engagement. A modern</w:t>
      </w:r>
      <w:r>
        <w:t xml:space="preserve"> </w:t>
      </w:r>
      <w:r>
        <w:rPr>
          <w:bCs/>
          <w:b/>
        </w:rPr>
        <w:t xml:space="preserve">Politician</w:t>
      </w:r>
      <w:r>
        <w:t xml:space="preserve"> </w:t>
      </w:r>
      <w:r>
        <w:t xml:space="preserve">must be proficient in leveraging these digital tools to maintain connectivity with constituents. The expectation for transparency and rapid response to civic issues is higher in Moscow than elsewhere, driven by the tech-savvy nature of the urban population.</w:t>
      </w:r>
    </w:p>
    <w:bookmarkEnd w:id="25"/>
    <w:bookmarkEnd w:id="26"/>
    <w:bookmarkStart w:id="27" w:name="role-of-the-politician"/>
    <w:p>
      <w:pPr>
        <w:pStyle w:val="Heading2"/>
      </w:pPr>
      <w:r>
        <w:t xml:space="preserve">4. Role and Competencies of the Politician</w:t>
      </w:r>
    </w:p>
    <w:p>
      <w:pPr>
        <w:pStyle w:val="FirstParagraph"/>
      </w:pPr>
      <w:r>
        <w:t xml:space="preserve">In this specific context, the definition of a</w:t>
      </w:r>
      <w:r>
        <w:t xml:space="preserve"> </w:t>
      </w:r>
      <w:r>
        <w:rPr>
          <w:bCs/>
          <w:b/>
        </w:rPr>
        <w:t xml:space="preserve">Politician</w:t>
      </w:r>
      <w:r>
        <w:t xml:space="preserve"> </w:t>
      </w:r>
      <w:r>
        <w:t xml:space="preserve">extends beyond electoral candidacy. It includes civil servants, party officials, lobbyists, and community leaders who influence policy outcomes.</w:t>
      </w:r>
    </w:p>
    <w:p>
      <w:pPr>
        <w:numPr>
          <w:ilvl w:val="0"/>
          <w:numId w:val="1001"/>
        </w:numPr>
        <w:pStyle w:val="Compact"/>
      </w:pPr>
      <w:r>
        <w:rPr>
          <w:bCs/>
          <w:b/>
        </w:rPr>
        <w:t xml:space="preserve">Navigating Bureaucracy:</w:t>
      </w:r>
      <w:r>
        <w:t xml:space="preserve">A key competency for any</w:t>
      </w:r>
      <w:r>
        <w:t xml:space="preserve"> </w:t>
      </w:r>
      <w:hyperlink w:anchor="Xa39a3ee5e6b4b0d3255bfef95601890afd80709">
        <w:r>
          <w:rPr>
            <w:rStyle w:val="Hyperlink"/>
          </w:rPr>
          <w:t xml:space="preserve">Politician</w:t>
        </w:r>
      </w:hyperlink>
      <w:r>
        <w:t xml:space="preserve"> </w:t>
      </w:r>
      <w:r>
        <w:t xml:space="preserve">in Russia is the ability to navigate complex bureaucratic structures. Decision-making processes often require consensus among multiple ministries and agencies.</w:t>
      </w:r>
    </w:p>
    <w:p>
      <w:pPr>
        <w:numPr>
          <w:ilvl w:val="0"/>
          <w:numId w:val="1001"/>
        </w:numPr>
        <w:pStyle w:val="Compact"/>
      </w:pPr>
      <w:r>
        <w:rPr>
          <w:bCs/>
          <w:b/>
        </w:rPr>
        <w:t xml:space="preserve">Messaging and Narrative Control:</w:t>
      </w:r>
      <w:r>
        <w:t xml:space="preserve">In an era of information management, controlling the narrative is vital. A</w:t>
      </w:r>
      <w:r>
        <w:t xml:space="preserve"> </w:t>
      </w:r>
      <w:r>
        <w:rPr>
          <w:bCs/>
          <w:b/>
        </w:rPr>
        <w:t xml:space="preserve">Politician</w:t>
      </w:r>
      <w:r>
        <w:t xml:space="preserve"> </w:t>
      </w:r>
      <w:r>
        <w:t xml:space="preserve">must craft messages that align with state interests while addressing local concerns in Moscow. Misalignment can lead to significant political repercussions.</w:t>
      </w:r>
    </w:p>
    <w:p>
      <w:pPr>
        <w:numPr>
          <w:ilvl w:val="0"/>
          <w:numId w:val="1001"/>
        </w:numPr>
        <w:pStyle w:val="Compact"/>
      </w:pPr>
      <w:r>
        <w:rPr>
          <w:bCs/>
          <w:b/>
        </w:rPr>
        <w:t xml:space="preserve">Economic Acumen:</w:t>
      </w:r>
      <w:r>
        <w:t xml:space="preserve">Moscow is a financial hub. A</w:t>
      </w:r>
      <w:r>
        <w:t xml:space="preserve"> </w:t>
      </w:r>
      <w:hyperlink w:anchor="Xa39a3ee5e6b4b0d3255bfef95601890afd80709">
        <w:r>
          <w:rPr>
            <w:rStyle w:val="Hyperlink"/>
          </w:rPr>
          <w:t xml:space="preserve">Politician</w:t>
        </w:r>
      </w:hyperlink>
      <w:r>
        <w:t xml:space="preserve"> </w:t>
      </w:r>
      <w:r>
        <w:t xml:space="preserve">involved in economic development must understand international sanctions, trade restrictions, and the shift towards domestic production. Policies promoting import substitution and technological independence are currently prioritized.</w:t>
      </w:r>
    </w:p>
    <w:p>
      <w:pPr>
        <w:numPr>
          <w:ilvl w:val="0"/>
          <w:numId w:val="1001"/>
        </w:numPr>
        <w:pStyle w:val="Compact"/>
      </w:pPr>
      <w:r>
        <w:rPr>
          <w:bCs/>
          <w:b/>
        </w:rPr>
        <w:t xml:space="preserve">Social Stability:</w:t>
      </w:r>
      <w:r>
        <w:t xml:space="preserve">Maintaining social order is a primary goal of political leadership in Russia. A</w:t>
      </w:r>
      <w:r>
        <w:t xml:space="preserve"> </w:t>
      </w:r>
      <w:r>
        <w:rPr>
          <w:bCs/>
          <w:b/>
        </w:rPr>
        <w:t xml:space="preserve">Politician</w:t>
      </w:r>
      <w:r>
        <w:t xml:space="preserve"> </w:t>
      </w:r>
      <w:r>
        <w:t xml:space="preserve">must demonstrate an ability to manage protests, labor disputes, and public sentiment effectively without compromising long-term stability.</w:t>
      </w:r>
    </w:p>
    <w:bookmarkEnd w:id="27"/>
    <w:bookmarkStart w:id="28" w:name="challenges-and-opportunities"/>
    <w:p>
      <w:pPr>
        <w:pStyle w:val="Heading2"/>
      </w:pPr>
      <w:r>
        <w:t xml:space="preserve">5. Challenges and Opportunities</w:t>
      </w:r>
    </w:p>
    <w:p>
      <w:pPr>
        <w:pStyle w:val="FirstParagraph"/>
      </w:pPr>
      <w:r>
        <w:rPr>
          <w:bCs/>
          <w:b/>
        </w:rPr>
        <w:t xml:space="preserve">Challenges:</w:t>
      </w:r>
      <w:r>
        <w:t xml:space="preserve">The primary challenge for a</w:t>
      </w:r>
      <w:r>
        <w:t xml:space="preserve"> </w:t>
      </w:r>
      <w:hyperlink w:anchor="Xa39a3ee5e6b4b0d3255bfef95601890afd80709">
        <w:r>
          <w:rPr>
            <w:rStyle w:val="Hyperlink"/>
          </w:rPr>
          <w:t xml:space="preserve">Politician</w:t>
        </w:r>
      </w:hyperlink>
      <w:r>
        <w:t xml:space="preserve"> </w:t>
      </w:r>
      <w:r>
        <w:t xml:space="preserve">in this arena is the constrained space for political pluralism. Independent voices face significant hurdles, including legal restrictions and media access limitations. Furthermore, international isolation complicates diplomatic efforts and economic partnerships.</w:t>
      </w:r>
    </w:p>
    <w:p>
      <w:pPr>
        <w:pStyle w:val="BodyText"/>
      </w:pPr>
      <w:r>
        <w:rPr>
          <w:bCs/>
          <w:b/>
        </w:rPr>
        <w:t xml:space="preserve">Opportunities:</w:t>
      </w:r>
      <w:r>
        <w:t xml:space="preserve">Despite these challenges, there are opportunities for innovation in public service delivery. The push for digitalization creates roles for technocratic</w:t>
      </w:r>
      <w:r>
        <w:t xml:space="preserve"> </w:t>
      </w:r>
      <w:hyperlink w:anchor="Xa39a3ee5e6b4b0d3255bfef95601890afd80709">
        <w:r>
          <w:rPr>
            <w:rStyle w:val="Hyperlink"/>
          </w:rPr>
          <w:t xml:space="preserve">Politicians</w:t>
        </w:r>
      </w:hyperlink>
      <w:r>
        <w:t xml:space="preserve"> </w:t>
      </w:r>
      <w:r>
        <w:t xml:space="preserve">who can implement efficient solutions. Additionally, the focus on regional development outside Moscow still requires support and resources that originate from the capital, creating avenues for coordination between federal and local entities.</w:t>
      </w:r>
    </w:p>
    <w:p>
      <w:pPr>
        <w:pStyle w:val="BodyText"/>
      </w:pPr>
      <w:r>
        <w:t xml:space="preserve">Moscow serves as a testing ground for new policies that may later be rolled out across</w:t>
      </w:r>
      <w:r>
        <w:t xml:space="preserve"> </w:t>
      </w:r>
      <w:r>
        <w:rPr>
          <w:bCs/>
          <w:b/>
        </w:rPr>
        <w:t xml:space="preserve">Russia</w:t>
      </w:r>
      <w:r>
        <w:t xml:space="preserve">. A</w:t>
      </w:r>
      <w:r>
        <w:t xml:space="preserve"> </w:t>
      </w:r>
      <w:r>
        <w:rPr>
          <w:bCs/>
          <w:b/>
        </w:rPr>
        <w:t xml:space="preserve">Politician</w:t>
      </w:r>
      <w:r>
        <w:t xml:space="preserve"> </w:t>
      </w:r>
      <w:r>
        <w:t xml:space="preserve">who can successfully pilot initiatives in Moscow—such as waste management reforms or urban renewal projects—gains significant political capital. The visibility of Moscow makes it an ideal stage for showcasing governance effectiveness.</w:t>
      </w:r>
    </w:p>
    <w:bookmarkEnd w:id="28"/>
    <w:bookmarkStart w:id="29" w:name="strategic-recommendations"/>
    <w:p>
      <w:pPr>
        <w:pStyle w:val="Heading2"/>
      </w:pPr>
      <w:r>
        <w:t xml:space="preserve">6. Strategic Recommendations</w:t>
      </w:r>
    </w:p>
    <w:p>
      <w:pPr>
        <w:pStyle w:val="FirstParagraph"/>
      </w:pPr>
      <w:r>
        <w:t xml:space="preserve">Based on the analysis of the current environment in</w:t>
      </w:r>
      <w:r>
        <w:t xml:space="preserve"> </w:t>
      </w:r>
      <w:r>
        <w:rPr>
          <w:bCs/>
          <w:b/>
        </w:rPr>
        <w:t xml:space="preserve">Russia Moscow</w:t>
      </w:r>
      <w:r>
        <w:t xml:space="preserve">, the following recommendations are proposed for stakeholders engaging with a</w:t>
      </w:r>
      <w:r>
        <w:t xml:space="preserve"> </w:t>
      </w:r>
      <w:hyperlink w:anchor="Xa39a3ee5e6b4b0d3255bfef95601890afd80709">
        <w:r>
          <w:rPr>
            <w:rStyle w:val="Hyperlink"/>
          </w:rPr>
          <w:t xml:space="preserve">Politician</w:t>
        </w:r>
      </w:hyperlink>
      <w:r>
        <w:t xml:space="preserve"> </w:t>
      </w:r>
      <w:r>
        <w:t xml:space="preserve">or political entities:</w:t>
      </w:r>
    </w:p>
    <w:p>
      <w:pPr>
        <w:numPr>
          <w:ilvl w:val="0"/>
          <w:numId w:val="1002"/>
        </w:numPr>
        <w:pStyle w:val="Compact"/>
      </w:pPr>
      <w:r>
        <w:rPr>
          <w:bCs/>
          <w:b/>
        </w:rPr>
        <w:t xml:space="preserve">Prioritize Local Engagement:</w:t>
      </w:r>
      <w:r>
        <w:t xml:space="preserve">: Engage directly with Moscow city authorities rather than relying solely on federal channels. The Mayor’s office has considerable autonomy.</w:t>
      </w:r>
    </w:p>
    <w:p>
      <w:pPr>
        <w:numPr>
          <w:ilvl w:val="0"/>
          <w:numId w:val="1002"/>
        </w:numPr>
        <w:pStyle w:val="Compact"/>
      </w:pPr>
      <w:r>
        <w:rPr>
          <w:bCs/>
          <w:b/>
        </w:rPr>
        <w:t xml:space="preserve">Leverage Digital Platforms:</w:t>
      </w:r>
      <w:r>
        <w:t xml:space="preserve">: Utilize the digital infrastructure prevalent in Moscow to gather public opinion and demonstrate responsiveness. A modern</w:t>
      </w:r>
      <w:r>
        <w:t xml:space="preserve"> </w:t>
      </w:r>
      <w:hyperlink w:anchor="Xa39a3ee5e6b4b0d3255bfef95601890afd80709">
        <w:r>
          <w:rPr>
            <w:rStyle w:val="Hyperlink"/>
          </w:rPr>
          <w:t xml:space="preserve">Politician</w:t>
        </w:r>
      </w:hyperlink>
      <w:r>
        <w:t xml:space="preserve"> </w:t>
      </w:r>
      <w:r>
        <w:t xml:space="preserve">must be visible online.</w:t>
      </w:r>
    </w:p>
    <w:p>
      <w:pPr>
        <w:numPr>
          <w:ilvl w:val="0"/>
          <w:numId w:val="1002"/>
        </w:numPr>
        <w:pStyle w:val="Compact"/>
      </w:pPr>
      <w:r>
        <w:rPr>
          <w:bCs/>
          <w:b/>
        </w:rPr>
        <w:t xml:space="preserve">Align with National Priorities:</w:t>
      </w:r>
      <w:r>
        <w:t xml:space="preserve">: Ensure that local initiatives in Moscow support broader national goals such as economic sovereignty and technological independence. This alignment increases the likelihood of federal support.</w:t>
      </w:r>
    </w:p>
    <w:p>
      <w:pPr>
        <w:numPr>
          <w:ilvl w:val="0"/>
          <w:numId w:val="1002"/>
        </w:numPr>
        <w:pStyle w:val="Compact"/>
      </w:pPr>
      <w:r>
        <w:rPr>
          <w:bCs/>
          <w:b/>
        </w:rPr>
        <w:t xml:space="preserve">Foster Public-Private Partnerships:</w:t>
      </w:r>
      <w:r>
        <w:t xml:space="preserve">: Given resource constraints, collaboration between the government and private sector is essential. A skilled</w:t>
      </w:r>
      <w:r>
        <w:t xml:space="preserve"> </w:t>
      </w:r>
      <w:hyperlink w:anchor="Xa39a3ee5e6b4b0d3255bfef95601890afd80709">
        <w:r>
          <w:rPr>
            <w:rStyle w:val="Hyperlink"/>
          </w:rPr>
          <w:t xml:space="preserve">Politician</w:t>
        </w:r>
      </w:hyperlink>
      <w:r>
        <w:t xml:space="preserve"> </w:t>
      </w:r>
      <w:r>
        <w:t xml:space="preserve">can facilitate these partnerships to drive infrastructure development.</w:t>
      </w:r>
    </w:p>
    <w:bookmarkEnd w:id="29"/>
    <w:bookmarkStart w:id="30" w:name="conclusion"/>
    <w:p>
      <w:pPr>
        <w:pStyle w:val="Heading2"/>
      </w:pPr>
      <w:r>
        <w:t xml:space="preserve">7. Conclusion</w:t>
      </w:r>
    </w:p>
    <w:p>
      <w:pPr>
        <w:pStyle w:val="FirstParagraph"/>
      </w:pPr>
      <w:r>
        <w:t xml:space="preserve">The political landscape in</w:t>
      </w:r>
      <w:r>
        <w:t xml:space="preserve"> </w:t>
      </w:r>
      <w:r>
        <w:rPr>
          <w:bCs/>
          <w:b/>
        </w:rPr>
        <w:t xml:space="preserve">Russia Moscow</w:t>
      </w:r>
      <w:r>
        <w:t xml:space="preserve"> </w:t>
      </w:r>
      <w:r>
        <w:t xml:space="preserve">is complex, hierarchical, and increasingly digital. For any individual or entity identified as a</w:t>
      </w:r>
      <w:r>
        <w:t xml:space="preserve"> </w:t>
      </w:r>
      <w:hyperlink w:anchor="Xa39a3ee5e6b4b0d3255bfef95601890afd80709">
        <w:r>
          <w:rPr>
            <w:rStyle w:val="Hyperlink"/>
          </w:rPr>
          <w:t xml:space="preserve">Politician</w:t>
        </w:r>
      </w:hyperlink>
      <w:r>
        <w:t xml:space="preserve">, success depends on the ability to navigate central authority while addressing local urban challenges. The role of the Politician has evolved to require not just political will but also administrative competence and technological fluency.</w:t>
      </w:r>
    </w:p>
    <w:p>
      <w:pPr>
        <w:pStyle w:val="BodyText"/>
      </w:pPr>
      <w:r>
        <w:t xml:space="preserve">Moscow remains the epicenter of power in Russia, setting trends for governance and policy across the nation. Understanding this dynamic is crucial for anyone seeking to influence or engage with the political process. As</w:t>
      </w:r>
      <w:r>
        <w:t xml:space="preserve"> </w:t>
      </w:r>
      <w:r>
        <w:rPr>
          <w:bCs/>
          <w:b/>
        </w:rPr>
        <w:t xml:space="preserve">Russia Moscow</w:t>
      </w:r>
      <w:r>
        <w:t xml:space="preserve"> </w:t>
      </w:r>
      <w:r>
        <w:t xml:space="preserve">continues to adapt to global pressures and internal demands, the need for effective, adaptive political leadership remains more critical than ever.</w:t>
      </w:r>
    </w:p>
    <w:p>
      <w:pPr>
        <w:pStyle w:val="BodyText"/>
      </w:pPr>
      <w:r>
        <w:t xml:space="preserve">This report underscores that a deep understanding of local nuances in</w:t>
      </w:r>
      <w:r>
        <w:t xml:space="preserve"> </w:t>
      </w:r>
      <w:r>
        <w:rPr>
          <w:bCs/>
          <w:b/>
        </w:rPr>
        <w:t xml:space="preserve">Russia Moscow</w:t>
      </w:r>
      <w:r>
        <w:t xml:space="preserve">, combined with strategic alignment with federal goals, is the key to successful political engagement. Stakeholders must remain agile and informed as they work alongside or within the framework established by any active</w:t>
      </w:r>
      <w:r>
        <w:t xml:space="preserve"> </w:t>
      </w:r>
      <w:hyperlink w:anchor="Xa39a3ee5e6b4b0d3255bfef95601890afd80709">
        <w:r>
          <w:rPr>
            <w:rStyle w:val="Hyperlink"/>
          </w:rPr>
          <w:t xml:space="preserve">Politician</w:t>
        </w:r>
      </w:hyperlink>
      <w:r>
        <w:t xml:space="preserve"> </w:t>
      </w:r>
      <w:r>
        <w:t xml:space="preserve">in this vital region.</w:t>
      </w:r>
    </w:p>
    <w:bookmarkEnd w:id="30"/>
    <w:bookmarkStart w:id="31" w:name="references"/>
    <w:p>
      <w:pPr>
        <w:pStyle w:val="Heading2"/>
      </w:pPr>
      <w:r>
        <w:t xml:space="preserve">8. References</w:t>
      </w:r>
    </w:p>
    <w:p>
      <w:pPr>
        <w:pStyle w:val="FirstParagraph"/>
      </w:pPr>
      <w:r>
        <w:t xml:space="preserve">Russian Constitution (Current Amendments).</w:t>
      </w:r>
    </w:p>
    <w:p>
      <w:pPr>
        <w:pStyle w:val="BodyText"/>
      </w:pPr>
      <w:r>
        <w:t xml:space="preserve">Moscow City Charter and Governance Regulations.</w:t>
      </w:r>
    </w:p>
    <w:p>
      <w:pPr>
        <w:pStyle w:val="BodyText"/>
      </w:pPr>
      <w:r>
        <w:t xml:space="preserve">Analytical Reports on Russian Federalism by the Institute of European, Russian and Eurasian Studies.</w:t>
      </w:r>
    </w:p>
    <w:bookmarkEnd w:id="31"/>
    <w:bookmarkStart w:id="32" w:name="appendix"/>
    <w:p>
      <w:pPr>
        <w:pStyle w:val="Heading2"/>
      </w:pPr>
      <w:r>
        <w:t xml:space="preserve">Appendix A: Glossary</w:t>
      </w:r>
    </w:p>
    <w:p>
      <w:pPr>
        <w:pStyle w:val="FirstParagraph"/>
      </w:pPr>
      <w:r>
        <w:rPr>
          <w:bCs/>
          <w:b/>
        </w:rPr>
        <w:t xml:space="preserve">Duma:</w:t>
      </w:r>
      <w:r>
        <w:t xml:space="preserve">: The lower house of the Federal Assembly of Russia.</w:t>
      </w:r>
    </w:p>
    <w:p>
      <w:pPr>
        <w:pStyle w:val="BodyText"/>
      </w:pPr>
      <w:r>
        <w:rPr>
          <w:bCs/>
          <w:b/>
        </w:rPr>
        <w:t xml:space="preserve">Federal City:</w:t>
      </w:r>
    </w:p>
    <w:p>
      <w:pPr>
        <w:pStyle w:val="BodyText"/>
      </w:pPr>
      <w:r>
        <w:t xml:space="preserve">:A type of federal subject in Russia, with Moscow and St. Petersburg being examples.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Strategy and Engagement in Russia, Moscow</dc:title>
  <dc:creator/>
  <dc:language>en</dc:language>
  <cp:keywords/>
  <dcterms:created xsi:type="dcterms:W3CDTF">2026-07-30T03:09:19Z</dcterms:created>
  <dcterms:modified xsi:type="dcterms:W3CDTF">2026-07-30T03:09:19Z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