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Recruitment</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36" w:name="X7ea78b684509bc396757ea762ba9f05c9653de7"/>
    <w:p>
      <w:pPr>
        <w:pStyle w:val="Heading1"/>
      </w:pPr>
      <w:r>
        <w:t xml:space="preserve">Project Report: Strategic Academic Recruitment and Integration of a Professor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University Executive Board, Research Committee</w:t>
      </w:r>
      <w:r>
        <w:br/>
      </w:r>
      <w:r>
        <w:rPr>
          <w:bCs/>
          <w:b/>
        </w:rPr>
        <w:t xml:space="preserve">From:</w:t>
      </w:r>
      <w:r>
        <w:t xml:space="preserve"> </w:t>
      </w:r>
      <w:r>
        <w:t xml:space="preserve">Department of Human Resources &amp; Academic Strategy</w:t>
      </w:r>
      <w:r>
        <w:br/>
      </w:r>
      <w:r>
        <w:t xml:space="preserve">Recruitment and Onboarding Strategy for Senior Professorial Role in Australia Brisbane</w:t>
      </w:r>
    </w:p>
    <w:p>
      <w:pPr>
        <w:pStyle w:val="BodyText"/>
      </w:pPr>
      <w:r>
        <w:t xml:space="preserve">1.0 Executive Summary</w:t>
      </w:r>
    </w:p>
    <w:p>
      <w:pPr>
        <w:pStyle w:val="BodyText"/>
      </w:pPr>
      <w:r>
        <w:t xml:space="preserve">This Project Report outlines the strategic framework, operational requirements, and cultural integration plan for recruiting a distinguished Professor to join our institution located in</w:t>
      </w:r>
      <w:r>
        <w:t xml:space="preserve"> </w:t>
      </w:r>
      <w:r>
        <w:rPr>
          <w:bCs/>
          <w:b/>
        </w:rPr>
        <w:t xml:space="preserve">Australia Brisbane</w:t>
      </w:r>
      <w:r>
        <w:t xml:space="preserve">. As educational standards evolve globally, the demand for high-caliber academic leadership remains critical. This report details why securing a top-tier</w:t>
      </w:r>
      <w:r>
        <w:t xml:space="preserve"> </w:t>
      </w:r>
      <w:r>
        <w:rPr>
          <w:bCs/>
          <w:b/>
        </w:rPr>
        <w:t xml:space="preserve">Professor</w:t>
      </w:r>
      <w:r>
        <w:t xml:space="preserve"> </w:t>
      </w:r>
      <w:r>
        <w:t xml:space="preserve">is essential for maintaining academic excellence within the context of the unique socio-academic landscape of</w:t>
      </w:r>
    </w:p>
    <w:p>
      <w:pPr>
        <w:pStyle w:val="BodyText"/>
      </w:pPr>
      <w:r>
        <w:t xml:space="preserve">Australia Brisbane. The document addresses recruitment challenges, compliance with local regulations, and strategies to ensure long-term retention and success.</w:t>
      </w:r>
    </w:p>
    <w:bookmarkStart w:id="20" w:name="introduction-and-background"/>
    <w:p>
      <w:pPr>
        <w:pStyle w:val="Heading2"/>
      </w:pPr>
      <w:r>
        <w:t xml:space="preserve">2.0 Introduction and Background</w:t>
      </w:r>
    </w:p>
    <w:p>
      <w:pPr>
        <w:pStyle w:val="FirstParagraph"/>
      </w:pPr>
      <w:r>
        <w:t xml:space="preserve">The institution situated in</w:t>
      </w:r>
      <w:r>
        <w:t xml:space="preserve"> </w:t>
      </w:r>
      <w:r>
        <w:rPr>
          <w:bCs/>
          <w:b/>
        </w:rPr>
        <w:t xml:space="preserve">Australia Brisbane</w:t>
      </w:r>
      <w:r>
        <w:t xml:space="preserve"> </w:t>
      </w:r>
      <w:r>
        <w:t xml:space="preserve">is currently undergoing a significant phase of expansion in its research capabilities. To support this growth, we have identified the need to appoint a senior academic leader holding the rank of Professor. The role extends beyond traditional teaching duties; it requires substantial contributions to national and international research portfolios, mentorship of junior faculty, and engagement with local industry partners in Queensland.</w:t>
      </w:r>
    </w:p>
    <w:p>
      <w:pPr>
        <w:pStyle w:val="BodyText"/>
      </w:pPr>
      <w:r>
        <w:t xml:space="preserve">The title</w:t>
      </w:r>
      <w:r>
        <w:t xml:space="preserve"> </w:t>
      </w:r>
      <w:r>
        <w:rPr>
          <w:bCs/>
          <w:b/>
        </w:rPr>
        <w:t xml:space="preserve">Professor</w:t>
      </w:r>
      <w:r>
        <w:t xml:space="preserve"> </w:t>
      </w:r>
      <w:r>
        <w:t xml:space="preserve">in Australia represents the highest academic rank. It signifies not only pedagogical expertise but also a proven track record of scholarly output. This Project Report serves as a comprehensive guide to navigating the complexities associated with hiring such a senior role, specifically tailored to meet the expectations and regulatory environments of</w:t>
      </w:r>
    </w:p>
    <w:p>
      <w:pPr>
        <w:pStyle w:val="BodyText"/>
      </w:pPr>
      <w:r>
        <w:t xml:space="preserve">Australia Brisbane.</w:t>
      </w:r>
    </w:p>
    <w:bookmarkEnd w:id="20"/>
    <w:bookmarkStart w:id="23" w:name="strategic-importance-of-the-role"/>
    <w:p>
      <w:pPr>
        <w:pStyle w:val="Heading2"/>
      </w:pPr>
      <w:r>
        <w:t xml:space="preserve">3.0 Strategic Importance of the Role</w:t>
      </w:r>
    </w:p>
    <w:bookmarkStart w:id="21" w:name="X395baacf52690da980e9d241401d273860bcca2"/>
    <w:p>
      <w:pPr>
        <w:pStyle w:val="Heading3"/>
      </w:pPr>
      <w:r>
        <w:t xml:space="preserve">3.1 Enhancing Research Output in Australia Brisbane</w:t>
      </w:r>
    </w:p>
    <w:p>
      <w:pPr>
        <w:pStyle w:val="FirstParagraph"/>
      </w:pPr>
      <w:r>
        <w:t xml:space="preserve">Brisbane has emerged as a hub for innovation, particularly in medical sciences, environmental studies, and engineering. By appointing a</w:t>
      </w:r>
    </w:p>
    <w:p>
      <w:pPr>
        <w:pStyle w:val="BodyText"/>
      </w:pPr>
      <w:r>
        <w:t xml:space="preserve">Professor with a strong publication record and grant acquisition history, the university can significantly boost its ranking in global research indexes. The candidate must demonstrate an ability to lead large-scale collaborative projects that are relevant to the local economy of</w:t>
      </w:r>
      <w:r>
        <w:t xml:space="preserve"> </w:t>
      </w:r>
      <w:r>
        <w:rPr>
          <w:bCs/>
          <w:b/>
        </w:rPr>
        <w:t xml:space="preserve">Australia Brisbane</w:t>
      </w:r>
      <w:r>
        <w:t xml:space="preserve">.</w:t>
      </w:r>
    </w:p>
    <w:bookmarkEnd w:id="21"/>
    <w:bookmarkStart w:id="22" w:name="academic-leadership-and-mentorship"/>
    <w:p>
      <w:pPr>
        <w:pStyle w:val="Heading3"/>
      </w:pPr>
      <w:r>
        <w:t xml:space="preserve">3.2 Academic Leadership and Mentorship</w:t>
      </w:r>
    </w:p>
    <w:p>
      <w:pPr>
        <w:pStyle w:val="FirstParagraph"/>
      </w:pPr>
      <w:r>
        <w:t xml:space="preserve">A key deliverable of this Project Report is the definition of leadership expectations. The incoming</w:t>
      </w:r>
    </w:p>
    <w:p>
      <w:pPr>
        <w:pStyle w:val="BodyText"/>
      </w:pPr>
      <w:r>
        <w:t xml:space="preserve">Professor will be expected to establish a research group, supervise postgraduate students, and contribute to curriculum development. In the competitive academic market of</w:t>
      </w:r>
    </w:p>
    <w:p>
      <w:pPr>
        <w:pStyle w:val="BodyText"/>
      </w:pPr>
      <w:r>
        <w:t xml:space="preserve">Australia Brisbane, mentorship is vital for retaining junior staff and attracting high-quality doctoral candidates.</w:t>
      </w:r>
    </w:p>
    <w:bookmarkEnd w:id="22"/>
    <w:bookmarkEnd w:id="23"/>
    <w:bookmarkStart w:id="25" w:name="recruitment-process-and-criteria"/>
    <w:p>
      <w:pPr>
        <w:pStyle w:val="Heading2"/>
      </w:pPr>
      <w:r>
        <w:t xml:space="preserve">4.0 Recruitment Process and Criteria</w:t>
      </w:r>
    </w:p>
    <w:bookmarkStart w:id="24" w:name="candidate-profile-requirements"/>
    <w:p>
      <w:pPr>
        <w:pStyle w:val="Heading3"/>
      </w:pPr>
      <w:r>
        <w:t xml:space="preserve">4.1 Candidate Profile Requirements</w:t>
      </w:r>
    </w:p>
    <w:p>
      <w:pPr>
        <w:pStyle w:val="FirstParagraph"/>
      </w:pPr>
      <w:r>
        <w:t xml:space="preserve">To ensure alignment with institutional goals, the ideal candidate for the</w:t>
      </w:r>
    </w:p>
    <w:p>
      <w:pPr>
        <w:pStyle w:val="BodyText"/>
      </w:pPr>
      <w:r>
        <w:t xml:space="preserve">Professor position must meet the following criteria:</w:t>
      </w:r>
    </w:p>
    <w:p>
      <w:pPr>
        <w:numPr>
          <w:ilvl w:val="0"/>
          <w:numId w:val="1001"/>
        </w:numPr>
        <w:pStyle w:val="Compact"/>
      </w:pPr>
      <w:r>
        <w:rPr>
          <w:bCs/>
          <w:b/>
        </w:rPr>
        <w:t xml:space="preserve">Credentials:</w:t>
      </w:r>
      <w:r>
        <w:t xml:space="preserve"> </w:t>
      </w:r>
      <w:r>
        <w:t xml:space="preserve">A PhD in a relevant field from an accredited international or Australian institution.</w:t>
      </w:r>
    </w:p>
    <w:p>
      <w:pPr>
        <w:numPr>
          <w:ilvl w:val="0"/>
          <w:numId w:val="1001"/>
        </w:numPr>
        <w:pStyle w:val="Compact"/>
      </w:pPr>
      <w:r>
        <w:rPr>
          <w:bCs/>
          <w:b/>
        </w:rPr>
        <w:t xml:space="preserve">Publishing Record:</w:t>
      </w:r>
      <w:r>
        <w:t xml:space="preserve">A minimum of 30 peer-reviewed publications in high-impact journals over the last five years.</w:t>
      </w:r>
    </w:p>
    <w:p>
      <w:pPr>
        <w:numPr>
          <w:ilvl w:val="0"/>
          <w:numId w:val="1001"/>
        </w:numPr>
        <w:pStyle w:val="Compact"/>
      </w:pPr>
      <w:r>
        <w:t xml:space="preserve">Funding History: Demonstrated success in securing external research funding, preferably from the Australian Research Council (ARC) or National Health and Medical Research Council (NHMRC).</w:t>
      </w:r>
    </w:p>
    <w:p>
      <w:pPr>
        <w:numPr>
          <w:ilvl w:val="0"/>
          <w:numId w:val="1001"/>
        </w:numPr>
        <w:pStyle w:val="Compact"/>
      </w:pPr>
      <w:r>
        <w:t xml:space="preserve">Local Engagement: Prior experience or a clear strategy for engaging with stakeholders in</w:t>
      </w:r>
    </w:p>
    <w:p>
      <w:pPr>
        <w:numPr>
          <w:ilvl w:val="0"/>
          <w:numId w:val="1000"/>
        </w:numPr>
        <w:pStyle w:val="Compact"/>
      </w:pPr>
      <w:r>
        <w:t xml:space="preserve">Australia Brisbane.</w:t>
      </w:r>
    </w:p>
    <w:p>
      <w:pPr>
        <w:pStyle w:val="FirstParagraph"/>
      </w:pPr>
      <w:r>
        <w:t xml:space="preserve">4.2 Sourcing Channels</w:t>
      </w:r>
    </w:p>
    <w:p>
      <w:pPr>
        <w:pStyle w:val="BodyText"/>
      </w:pPr>
      <w:r>
        <w:t xml:space="preserve">&gt;</w:t>
      </w:r>
    </w:p>
    <w:p>
      <w:pPr>
        <w:pStyle w:val="BodyText"/>
      </w:pPr>
      <w:r>
        <w:t xml:space="preserve">The recruitment strategy will utilize specialized academic job boards, professional networks such as LinkedIn, and partnerships with international universities. Given the specific location of</w:t>
      </w:r>
    </w:p>
    <w:p>
      <w:pPr>
        <w:pStyle w:val="BodyText"/>
      </w:pPr>
      <w:r>
        <w:t xml:space="preserve">Australia Brisbane, we will also engage with local academic societies to identify candidates who may already have regional ties or a preference for the Queensland lifestyle.</w:t>
      </w:r>
    </w:p>
    <w:bookmarkEnd w:id="24"/>
    <w:bookmarkEnd w:id="25"/>
    <w:bookmarkStart w:id="29" w:name="X34efa16c5cc87683a1e6c0ab40e2037476dddd9"/>
    <w:p>
      <w:pPr>
        <w:pStyle w:val="Heading2"/>
      </w:pPr>
      <w:r>
        <w:t xml:space="preserve">5.0 Compliance and Regulatory Framework in Australia Brisbane</w:t>
      </w:r>
    </w:p>
    <w:p>
      <w:pPr>
        <w:pStyle w:val="FirstParagraph"/>
      </w:pPr>
      <w:r>
        <w:t xml:space="preserve">Navigating the legal and administrative landscape is a critical component of this Project Report. The recruitment of a</w:t>
      </w:r>
    </w:p>
    <w:p>
      <w:pPr>
        <w:pStyle w:val="BodyText"/>
      </w:pPr>
      <w:r>
        <w:t xml:space="preserve">Professor in</w:t>
      </w:r>
      <w:r>
        <w:t xml:space="preserve"> </w:t>
      </w:r>
      <w:r>
        <w:rPr>
          <w:bCs/>
          <w:b/>
        </w:rPr>
        <w:t xml:space="preserve">Australia Brisbane</w:t>
      </w:r>
      <w:r>
        <w:t xml:space="preserve"> </w:t>
      </w:r>
      <w:r>
        <w:t xml:space="preserve">must adhere to strict regulations.</w:t>
      </w:r>
    </w:p>
    <w:bookmarkStart w:id="26" w:name="work-rights-and-visas"/>
    <w:p>
      <w:pPr>
        <w:pStyle w:val="Heading3"/>
      </w:pPr>
      <w:r>
        <w:t xml:space="preserve">5.1 Work Rights and Visas</w:t>
      </w:r>
    </w:p>
    <w:p>
      <w:pPr>
        <w:pStyle w:val="FirstParagraph"/>
      </w:pPr>
      <w:r>
        <w:t xml:space="preserve">&gt;</w:t>
      </w:r>
    </w:p>
    <w:p>
      <w:pPr>
        <w:pStyle w:val="BodyText"/>
      </w:pPr>
      <w:r>
        <w:t xml:space="preserve">If the candidate is an international hire, the university must process appropriate visa sponsorships (e.g., Temporary Skill Shortage visa or Employer Nomination Scheme). It is crucial to verify that the role of</w:t>
      </w:r>
    </w:p>
    <w:p>
      <w:pPr>
        <w:pStyle w:val="BodyText"/>
      </w:pPr>
      <w:r>
        <w:t xml:space="preserve">Professor meets the skilled occupation lists required by Home Affairs Australia. The location in</w:t>
      </w:r>
      <w:r>
        <w:t xml:space="preserve"> </w:t>
      </w:r>
      <w:r>
        <w:rPr>
          <w:bCs/>
          <w:b/>
        </w:rPr>
        <w:t xml:space="preserve">Australia Brisbane</w:t>
      </w:r>
      <w:r>
        <w:t xml:space="preserve"> </w:t>
      </w:r>
      <w:r>
        <w:t xml:space="preserve">may offer specific regional migration incentives, which should be leveraged to attract talent.</w:t>
      </w:r>
    </w:p>
    <w:bookmarkEnd w:id="26"/>
    <w:bookmarkStart w:id="27" w:name="fair-work-and-employment-standards"/>
    <w:p>
      <w:pPr>
        <w:pStyle w:val="Heading3"/>
      </w:pPr>
      <w:r>
        <w:t xml:space="preserve">5.2 Fair Work and Employment Standards</w:t>
      </w:r>
    </w:p>
    <w:p>
      <w:pPr>
        <w:pStyle w:val="FirstParagraph"/>
      </w:pPr>
      <w:r>
        <w:t xml:space="preserve">&gt;</w:t>
      </w:r>
    </w:p>
    <w:p>
      <w:pPr>
        <w:pStyle w:val="BodyText"/>
      </w:pPr>
      <w:r>
        <w:t xml:space="preserve">The employment contract must comply with the Fair Work Act 2009 (Cth). This includes defining clear terms regarding salary packaging, superannuation contributions, and professional development allowances. In</w:t>
      </w:r>
    </w:p>
    <w:p>
      <w:pPr>
        <w:pStyle w:val="BodyText"/>
      </w:pPr>
      <w:r>
        <w:t xml:space="preserve">Australia Brisbane, industrial relations are robustly enforced; therefore, transparency in the offer package is essential to avoid legal complications.</w:t>
      </w:r>
    </w:p>
    <w:bookmarkEnd w:id="27"/>
    <w:bookmarkStart w:id="28" w:name="academic-standards-and-accreditation"/>
    <w:p>
      <w:pPr>
        <w:pStyle w:val="Heading3"/>
      </w:pPr>
      <w:r>
        <w:t xml:space="preserve">5.3 Academic Standards and Accreditation</w:t>
      </w:r>
    </w:p>
    <w:p>
      <w:pPr>
        <w:pStyle w:val="FirstParagraph"/>
      </w:pPr>
      <w:r>
        <w:t xml:space="preserve">&gt;</w:t>
      </w:r>
    </w:p>
    <w:p>
      <w:pPr>
        <w:pStyle w:val="BodyText"/>
      </w:pPr>
      <w:r>
        <w:t xml:space="preserve">The appointment must align with the Tertiary Education Quality and Standards Agency (TEQSA) standards. The</w:t>
      </w:r>
    </w:p>
    <w:p>
      <w:pPr>
        <w:pStyle w:val="BodyText"/>
      </w:pPr>
      <w:r>
        <w:t xml:space="preserve">Professor’s qualifications must be verified, ensuring they meet the criteria for academic recognition within the Australian higher education sector.</w:t>
      </w:r>
    </w:p>
    <w:bookmarkEnd w:id="28"/>
    <w:bookmarkEnd w:id="29"/>
    <w:bookmarkStart w:id="32" w:name="Xa5d92399508d5506e7ece10707a5077530986fc"/>
    <w:p>
      <w:pPr>
        <w:pStyle w:val="Heading2"/>
      </w:pPr>
      <w:r>
        <w:t xml:space="preserve">6.0 Relocation and Cultural Integration in Australia Brisbane</w:t>
      </w:r>
    </w:p>
    <w:bookmarkStart w:id="30" w:name="quality-of-life-considerations"/>
    <w:p>
      <w:pPr>
        <w:pStyle w:val="Heading3"/>
      </w:pPr>
      <w:r>
        <w:t xml:space="preserve">6.1 Quality of Life Considerations</w:t>
      </w:r>
    </w:p>
    <w:p>
      <w:pPr>
        <w:pStyle w:val="FirstParagraph"/>
      </w:pPr>
      <w:r>
        <w:t xml:space="preserve">&gt;</w:t>
      </w:r>
    </w:p>
    <w:p>
      <w:pPr>
        <w:pStyle w:val="BodyText"/>
      </w:pPr>
      <w:r>
        <w:t xml:space="preserve">Australia Brisbane offers a unique blend of urban convenience and subtropical climate. This Project Report highlights the importance of assisting the new</w:t>
      </w:r>
    </w:p>
    <w:p>
      <w:pPr>
        <w:pStyle w:val="BodyText"/>
      </w:pPr>
      <w:r>
        <w:t xml:space="preserve">Professor with relocation logistics, including housing assistance in desirable suburbs such as Paddington, New Farm, or Toowong. Emphasizing these lifestyle benefits is a powerful tool for recruitment.</w:t>
      </w:r>
    </w:p>
    <w:bookmarkEnd w:id="30"/>
    <w:bookmarkStart w:id="31" w:name="cultural-onboarding"/>
    <w:p>
      <w:pPr>
        <w:pStyle w:val="Heading3"/>
      </w:pPr>
      <w:r>
        <w:t xml:space="preserve">6.2 Cultural Onboarding</w:t>
      </w:r>
    </w:p>
    <w:p>
      <w:pPr>
        <w:pStyle w:val="FirstParagraph"/>
      </w:pPr>
      <w:r>
        <w:t xml:space="preserve">&gt;</w:t>
      </w:r>
    </w:p>
    <w:p>
      <w:pPr>
        <w:pStyle w:val="BodyText"/>
      </w:pPr>
      <w:r>
        <w:t xml:space="preserve">Cultural integration extends beyond logistics. The new</w:t>
      </w:r>
    </w:p>
    <w:p>
      <w:pPr>
        <w:pStyle w:val="BodyText"/>
      </w:pPr>
      <w:r>
        <w:t xml:space="preserve">Professor must be onboarded into the local academic culture of</w:t>
      </w:r>
    </w:p>
    <w:p>
      <w:pPr>
        <w:pStyle w:val="BodyText"/>
      </w:pPr>
      <w:r>
        <w:t xml:space="preserve">Australia Brisbane, which values collegiality and egalitarianism compared to some other global academic hubs. Orientation programs should include introductions to local industry partners, government bodies, and community organizations.</w:t>
      </w:r>
    </w:p>
    <w:bookmarkEnd w:id="31"/>
    <w:bookmarkEnd w:id="32"/>
    <w:bookmarkStart w:id="33" w:name="budgetary-implications"/>
    <w:p>
      <w:pPr>
        <w:pStyle w:val="Heading2"/>
      </w:pPr>
      <w:r>
        <w:t xml:space="preserve">7.0 Budgetary Implications</w:t>
      </w:r>
    </w:p>
    <w:p>
      <w:pPr>
        <w:pStyle w:val="FirstParagraph"/>
      </w:pPr>
      <w:r>
        <w:t xml:space="preserve">The financial planning for this Project Report includes the following cost centers:</w:t>
      </w:r>
    </w:p>
    <w:p>
      <w:pPr>
        <w:numPr>
          <w:ilvl w:val="0"/>
          <w:numId w:val="1002"/>
        </w:numPr>
        <w:pStyle w:val="Compact"/>
      </w:pPr>
      <w:r>
        <w:t xml:space="preserve">Salary Package: Competitive remuneration commensurate with senior academic ranks in Queensland.</w:t>
      </w:r>
    </w:p>
    <w:p>
      <w:pPr>
        <w:numPr>
          <w:ilvl w:val="0"/>
          <w:numId w:val="1002"/>
        </w:numPr>
        <w:pStyle w:val="Compact"/>
      </w:pPr>
      <w:r>
        <w:t xml:space="preserve">Research Start-up Funds: Allocation for laboratory equipment, initial travel, and conference attendance.</w:t>
      </w:r>
    </w:p>
    <w:p>
      <w:pPr>
        <w:numPr>
          <w:ilvl w:val="0"/>
          <w:numId w:val="1002"/>
        </w:numPr>
        <w:pStyle w:val="Compact"/>
      </w:pPr>
      <w:r>
        <w:t xml:space="preserve">Relocation Allowance: Coverage for shipping, temporary accommodation, and visa fees.</w:t>
      </w:r>
    </w:p>
    <w:p>
      <w:pPr>
        <w:pStyle w:val="FirstParagraph"/>
      </w:pPr>
      <w:r>
        <w:t xml:space="preserve">8.0 Risk Management</w:t>
      </w:r>
    </w:p>
    <w:p>
      <w:pPr>
        <w:pStyle w:val="BodyText"/>
      </w:pPr>
      <w:r>
        <w:t xml:space="preserve">&gt;</w:t>
      </w:r>
    </w:p>
    <w:p>
      <w:pPr>
        <w:pStyle w:val="BodyText"/>
      </w:pPr>
      <w:r>
        <w:t xml:space="preserve">Risk 1: Failure to Recruit Suitable Candidates: Mitigation involves expanding search radius and offering flexible research start dates.</w:t>
      </w:r>
      <w:r>
        <w:br/>
      </w:r>
    </w:p>
    <w:p>
      <w:pPr>
        <w:pStyle w:val="BodyText"/>
      </w:pPr>
      <w:r>
        <w:t xml:space="preserve">Risk 2: Visa Rejection: Early engagement with migration agents specializing in</w:t>
      </w:r>
      <w:r>
        <w:t xml:space="preserve"> </w:t>
      </w:r>
      <w:r>
        <w:rPr>
          <w:bCs/>
          <w:b/>
        </w:rPr>
        <w:t xml:space="preserve">Australia Brisbane</w:t>
      </w:r>
      <w:r>
        <w:t xml:space="preserve"> </w:t>
      </w:r>
      <w:r>
        <w:t xml:space="preserve">regional visas.</w:t>
      </w:r>
      <w:r>
        <w:br/>
      </w:r>
    </w:p>
    <w:p>
      <w:pPr>
        <w:pStyle w:val="BodyText"/>
      </w:pPr>
      <w:r>
        <w:t xml:space="preserve">Risk 3: Poor Cultural Fit: Comprehensive interview panels including current staff and students to assess alignment with university values.</w:t>
      </w:r>
    </w:p>
    <w:bookmarkEnd w:id="33"/>
    <w:bookmarkStart w:id="34" w:name="conclusion-and-recommendations"/>
    <w:p>
      <w:pPr>
        <w:pStyle w:val="Heading2"/>
      </w:pPr>
      <w:r>
        <w:t xml:space="preserve">9.0 Conclusion and Recommendations</w:t>
      </w:r>
    </w:p>
    <w:p>
      <w:pPr>
        <w:pStyle w:val="FirstParagraph"/>
      </w:pPr>
      <w:r>
        <w:t xml:space="preserve">&gt;</w:t>
      </w:r>
    </w:p>
    <w:p>
      <w:pPr>
        <w:pStyle w:val="BodyText"/>
      </w:pPr>
      <w:r>
        <w:t xml:space="preserve">This Project Report confirms that the recruitment of a</w:t>
      </w:r>
    </w:p>
    <w:p>
      <w:pPr>
        <w:pStyle w:val="BodyText"/>
      </w:pPr>
      <w:r>
        <w:t xml:space="preserve">Professor is a pivotal initiative for our institution in</w:t>
      </w:r>
    </w:p>
    <w:p>
      <w:pPr>
        <w:pStyle w:val="BodyText"/>
      </w:pPr>
      <w:r>
        <w:t xml:space="preserve">Australia Brisbane. The strategic appointment will enhance our research profile, improve teaching quality, and strengthen community links. We recommend immediate approval of the budget and authorization to launch the global search campaign.</w:t>
      </w:r>
    </w:p>
    <w:p>
      <w:pPr>
        <w:pStyle w:val="BodyText"/>
      </w:pPr>
      <w:r>
        <w:t xml:space="preserve">&gt;</w:t>
      </w:r>
    </w:p>
    <w:p>
      <w:pPr>
        <w:pStyle w:val="BodyText"/>
      </w:pPr>
      <w:r>
        <w:t xml:space="preserve">By carefully addressing the specific nuances of hiring in</w:t>
      </w:r>
    </w:p>
    <w:p>
      <w:pPr>
        <w:pStyle w:val="BodyText"/>
      </w:pPr>
      <w:r>
        <w:t xml:space="preserve">Australia Brisbane—from regulatory compliance to cultural integration—we position ourselves as an employer of choice for world-class academics. The successful placement of a</w:t>
      </w:r>
    </w:p>
    <w:p>
      <w:pPr>
        <w:pStyle w:val="BodyText"/>
      </w:pPr>
      <w:r>
        <w:t xml:space="preserve">Professor will yield long-term benefits for the university’s reputation and financial sustainability.</w:t>
      </w:r>
    </w:p>
    <w:p>
      <w:pPr>
        <w:pStyle w:val="BodyText"/>
      </w:pPr>
      <w:r>
        <w:t xml:space="preserve">&gt;</w:t>
      </w:r>
    </w:p>
    <w:bookmarkEnd w:id="34"/>
    <w:bookmarkStart w:id="35" w:name="appendices"/>
    <w:p>
      <w:pPr>
        <w:pStyle w:val="Heading2"/>
      </w:pPr>
      <w:r>
        <w:t xml:space="preserve">10.0 Appendices</w:t>
      </w:r>
    </w:p>
    <w:p>
      <w:pPr>
        <w:pStyle w:val="FirstParagraph"/>
      </w:pPr>
      <w:r>
        <w:t xml:space="preserve">&gt;</w:t>
      </w:r>
    </w:p>
    <w:p>
      <w:pPr>
        <w:numPr>
          <w:ilvl w:val="0"/>
          <w:numId w:val="1003"/>
        </w:numPr>
        <w:pStyle w:val="Compact"/>
      </w:pPr>
      <w:r>
        <w:t xml:space="preserve">Appendix A: Detailed Job Description for Professor Role.</w:t>
      </w:r>
    </w:p>
    <w:p>
      <w:pPr>
        <w:numPr>
          <w:ilvl w:val="0"/>
          <w:numId w:val="1003"/>
        </w:numPr>
        <w:pStyle w:val="Compact"/>
      </w:pPr>
      <w:r>
        <w:t xml:space="preserve">Appendix B: Salary Benchmarking Data for Queensland Universities.</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Recruitment in Australia Brisbane</dc:title>
  <dc:creator/>
  <dc:language>en</dc:language>
  <cp:keywords/>
  <dcterms:created xsi:type="dcterms:W3CDTF">2026-07-30T06:32:32Z</dcterms:created>
  <dcterms:modified xsi:type="dcterms:W3CDTF">2026-07-30T06:32:32Z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