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Leadership</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Professorial</w:t>
      </w:r>
      <w:r>
        <w:t xml:space="preserve"> </w:t>
      </w:r>
      <w:r>
        <w:t xml:space="preserve">Role</w:t>
      </w:r>
      <w:r>
        <w:t xml:space="preserve"> </w:t>
      </w:r>
      <w:r>
        <w:t xml:space="preserve">in</w:t>
      </w:r>
      <w:r>
        <w:t xml:space="preserve"> </w:t>
      </w:r>
      <w:r>
        <w:t xml:space="preserve">Australia</w:t>
      </w:r>
      <w:r>
        <w:t xml:space="preserve"> </w:t>
      </w:r>
      <w:r>
        <w:t xml:space="preserve">Melbourne</w:t>
      </w:r>
    </w:p>
    <w:bookmarkStart w:id="33" w:name="Xd10cea22532331a8a0575d91dacd66fcea05d72"/>
    <w:p>
      <w:pPr>
        <w:pStyle w:val="Heading1"/>
      </w:pPr>
      <w:r>
        <w:t xml:space="preserve">Project Report on the Appointment and Strategic Integration of a Professor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University Executive Board &amp; Faculty Senate</w:t>
      </w:r>
      <w:r>
        <w:br/>
      </w:r>
      <w:r>
        <w:rPr>
          <w:bCs/>
          <w:b/>
        </w:rPr>
        <w:t xml:space="preserve">From:</w:t>
      </w:r>
      <w:r>
        <w:t xml:space="preserve"> </w:t>
      </w:r>
      <w:r>
        <w:t xml:space="preserve">Human Resources Department, International Appointments Division</w:t>
      </w:r>
      <w:r>
        <w:br/>
      </w:r>
    </w:p>
    <w:bookmarkStart w:id="20" w:name="executive-summary"/>
    <w:p>
      <w:pPr>
        <w:pStyle w:val="Heading2"/>
      </w:pPr>
      <w:r>
        <w:t xml:space="preserve">1. Executive Summary</w:t>
      </w:r>
    </w:p>
    <w:p>
      <w:pPr>
        <w:pStyle w:val="FirstParagraph"/>
      </w:pPr>
      <w:r>
        <w:t xml:space="preserve">This Project Report outlines the comprehensive strategy for the recruitment, integration, and strategic deployment of a new Professorial appointment within our institution located in Australia Melbourne. The city of Australia Melbourne has emerged as a pivotal hub for academic innovation, cultural diversity, and research excellence in the Asia-Pacific region. Consequently, securing top-tier academic talent is not merely an administrative task but a critical strategic imperative for maintaining our global competitive edge.</w:t>
      </w:r>
    </w:p>
    <w:p>
      <w:pPr>
        <w:pStyle w:val="BodyText"/>
      </w:pPr>
      <w:r>
        <w:t xml:space="preserve">The primary objective of this project is to secure a distinguished Professor who will lead interdisciplinary research initiatives in sustainable urban development while fostering strong industry partnerships within the Melbourne metropolitan area. This report details the rationale, operational framework, cultural considerations, and projected outcomes associated with this high-profile academic appointment.</w:t>
      </w:r>
    </w:p>
    <w:bookmarkEnd w:id="20"/>
    <w:bookmarkStart w:id="21" w:name="X30621e0bd8a01284a56ff2910fd679b503cecf0"/>
    <w:p>
      <w:pPr>
        <w:pStyle w:val="Heading2"/>
      </w:pPr>
      <w:r>
        <w:t xml:space="preserve">2. Contextual Background: The Academic Landscape of Australia Melbourne</w:t>
      </w:r>
    </w:p>
    <w:p>
      <w:pPr>
        <w:pStyle w:val="FirstParagraph"/>
      </w:pPr>
      <w:r>
        <w:t xml:space="preserve">Australia Melbourne is globally recognized for its high quality of life, robust economy, and prestigious educational institutions. As a city that consistently ranks among the top global cities for student livability, it attracts international scholars and researchers from diverse backgrounds. The local government has invested significantly in research infrastructure, particularly in sectors such as green technology, public health, and digital humanities.</w:t>
      </w:r>
    </w:p>
    <w:p>
      <w:pPr>
        <w:pStyle w:val="BodyText"/>
      </w:pPr>
      <w:r>
        <w:t xml:space="preserve">In this context, the role of a Professor extends beyond traditional teaching duties. A Professor in Australia Melbourne is expected to be a thought leader who contributes to policy discussions at both state and federal levels. The appointment aligns with the Victorian State Government’s "Plan for Public Education" and national initiatives aimed at boosting research commercialization.</w:t>
      </w:r>
    </w:p>
    <w:bookmarkEnd w:id="21"/>
    <w:bookmarkStart w:id="30" w:name="project-objectives"/>
    <w:p>
      <w:pPr>
        <w:pStyle w:val="Heading2"/>
      </w:pPr>
      <w:r>
        <w:t xml:space="preserve">3. Project Objectives</w:t>
      </w:r>
    </w:p>
    <w:p>
      <w:pPr>
        <w:numPr>
          <w:ilvl w:val="0"/>
          <w:numId w:val="1001"/>
        </w:numPr>
        <w:pStyle w:val="Compact"/>
      </w:pPr>
      <w:r>
        <w:rPr>
          <w:bCs/>
          <w:b/>
        </w:rPr>
        <w:t xml:space="preserve">Academic Excellence:</w:t>
      </w:r>
      <w:r>
        <w:t xml:space="preserve"> </w:t>
      </w:r>
      <w:r>
        <w:t xml:space="preserve">To recruit a Professor with a proven track record of high-impact publications, successful grant acquisition, and leadership in peer-reviewed journals.</w:t>
      </w:r>
    </w:p>
    <w:p>
      <w:pPr>
        <w:numPr>
          <w:ilvl w:val="0"/>
          <w:numId w:val="1001"/>
        </w:numPr>
      </w:pPr>
      <w:r>
        <w:rPr>
          <w:bCs/>
          <w:b/>
        </w:rPr>
        <w:t xml:space="preserve">Community Engagement:</w:t>
      </w:r>
      <w:r>
        <w:t xml:space="preserve"> </w:t>
      </w:r>
      <w:r>
        <w:t xml:space="preserve">To establish partnerships with local councils, NGOs, and industry leaders in Australia Melbourne to apply academic research to real-world urban challenges.</w:t>
      </w:r>
    </w:p>
    <w:p>
      <w:pPr>
        <w:numPr>
          <w:ilvl w:val="0"/>
          <w:numId w:val="1000"/>
        </w:numPr>
        <w:pStyle w:val="Heading2"/>
      </w:pPr>
      <w:bookmarkStart w:id="22" w:name="strategic-recruitment-framework"/>
      <w:r>
        <w:t xml:space="preserve">4. Strategic Recruitment Framework</w:t>
      </w:r>
      <w:bookmarkEnd w:id="22"/>
    </w:p>
    <w:p>
      <w:pPr>
        <w:numPr>
          <w:ilvl w:val="0"/>
          <w:numId w:val="1000"/>
        </w:numPr>
        <w:pStyle w:val="Heading3"/>
      </w:pPr>
      <w:bookmarkStart w:id="23" w:name="candidate-profile-definition"/>
      <w:r>
        <w:t xml:space="preserve">4.1 Candidate Profile Definition</w:t>
      </w:r>
      <w:bookmarkEnd w:id="23"/>
    </w:p>
    <w:p>
      <w:pPr>
        <w:numPr>
          <w:ilvl w:val="0"/>
          <w:numId w:val="1000"/>
        </w:numPr>
      </w:pPr>
      <w:r>
        <w:t xml:space="preserve">The ideal candidate for the Professor role must possess a PhD from a recognized institution and hold a position equivalent to Associate Professor or full Professor in their current country of residence. Key competencies include:</w:t>
      </w:r>
    </w:p>
    <w:p>
      <w:pPr>
        <w:numPr>
          <w:ilvl w:val="1"/>
          <w:numId w:val="1002"/>
        </w:numPr>
        <w:pStyle w:val="Compact"/>
      </w:pPr>
      <w:r>
        <w:t xml:space="preserve">A minimum of ten years post-doctoral experience.</w:t>
      </w:r>
    </w:p>
    <w:p>
      <w:pPr>
        <w:numPr>
          <w:ilvl w:val="1"/>
          <w:numId w:val="1002"/>
        </w:numPr>
        <w:pStyle w:val="Compact"/>
      </w:pPr>
      <w:r>
        <w:t xml:space="preserve">Strong leadership skills demonstrated through managing research teams.</w:t>
      </w:r>
    </w:p>
    <w:p>
      <w:pPr>
        <w:numPr>
          <w:ilvl w:val="0"/>
          <w:numId w:val="1000"/>
        </w:numPr>
      </w:pPr>
      <w:r>
        <w:t xml:space="preserve">Specific attention is given to candidates who have experience working in multicultural environments, as this is essential for thriving in Australia Melbourne.</w:t>
      </w:r>
    </w:p>
    <w:p>
      <w:pPr>
        <w:numPr>
          <w:ilvl w:val="0"/>
          <w:numId w:val="1000"/>
        </w:numPr>
        <w:pStyle w:val="Heading3"/>
      </w:pPr>
      <w:bookmarkStart w:id="24" w:name="selection-process"/>
      <w:r>
        <w:t xml:space="preserve">4.2 Selection Process</w:t>
      </w:r>
      <w:bookmarkEnd w:id="24"/>
    </w:p>
    <w:p>
      <w:pPr>
        <w:numPr>
          <w:ilvl w:val="0"/>
          <w:numId w:val="1000"/>
        </w:numPr>
      </w:pPr>
      <w:r>
        <w:t xml:space="preserve">The selection panel will comprise senior faculty members, industry representatives, and international experts. The evaluation criteria will focus on:</w:t>
      </w:r>
    </w:p>
    <w:p>
      <w:pPr>
        <w:numPr>
          <w:ilvl w:val="0"/>
          <w:numId w:val="1000"/>
        </w:numPr>
      </w:pPr>
      <w:r>
        <w:t xml:space="preserve">Academic Merit: Peer-reviewed publications and citation indices.</w:t>
      </w:r>
    </w:p>
    <w:p>
      <w:pPr>
        <w:numPr>
          <w:ilvl w:val="0"/>
          <w:numId w:val="1001"/>
        </w:numPr>
        <w:pStyle w:val="Compact"/>
      </w:pPr>
      <w:r>
        <w:rPr>
          <w:bCs/>
          <w:b/>
        </w:rPr>
        <w:t xml:space="preserve">Research Impact:</w:t>
      </w:r>
      <w:r>
        <w:t xml:space="preserve"> </w:t>
      </w:r>
      <w:r>
        <w:t xml:space="preserve">Evidence of how previous work has influenced policy or practice in Australia Melbourne or similar contexts.</w:t>
      </w:r>
    </w:p>
    <w:p>
      <w:pPr>
        <w:numPr>
          <w:ilvl w:val="0"/>
          <w:numId w:val="1001"/>
        </w:numPr>
      </w:pPr>
      <w:r>
        <w:rPr>
          <w:bCs/>
          <w:b/>
        </w:rPr>
        <w:t xml:space="preserve">Teaching Philosophy:</w:t>
      </w:r>
      <w:r>
        <w:t xml:space="preserve"> </w:t>
      </w:r>
      <w:r>
        <w:t xml:space="preserve">Commitment to student-centered learning and innovative pedagogical methods.</w:t>
      </w:r>
    </w:p>
    <w:p>
      <w:pPr>
        <w:numPr>
          <w:ilvl w:val="0"/>
          <w:numId w:val="1000"/>
        </w:numPr>
      </w:pPr>
      <w:r>
        <w:t xml:space="preserve">The final decision will be made by the Dean of Faculty, subject to approval by the Vice-Chancellor. This rigorous process ensures that only those who meet the highest standards of academic integrity and professional conduct are appointed as Professor within our institution.</w:t>
      </w:r>
    </w:p>
    <w:p>
      <w:pPr>
        <w:numPr>
          <w:ilvl w:val="0"/>
          <w:numId w:val="1000"/>
        </w:numPr>
        <w:pStyle w:val="Heading3"/>
      </w:pPr>
      <w:bookmarkStart w:id="25" w:name="visa-and-immigration-logistics"/>
      <w:r>
        <w:t xml:space="preserve">4.3 Visa and Immigration Logistics</w:t>
      </w:r>
      <w:bookmarkEnd w:id="25"/>
    </w:p>
    <w:p>
      <w:pPr>
        <w:numPr>
          <w:ilvl w:val="0"/>
          <w:numId w:val="1000"/>
        </w:numPr>
      </w:pPr>
      <w:r>
        <w:t xml:space="preserve">Given that many prospective Professors may be international appointees, the project includes a dedicated support team to navigate Australian immigration requirements. This involves assistance with Temporary Skill Shortage visas or Permanent Residency pathways, which are crucial for attracting global talent to Australia Melbourne.</w:t>
      </w:r>
    </w:p>
    <w:p>
      <w:pPr>
        <w:numPr>
          <w:ilvl w:val="0"/>
          <w:numId w:val="1000"/>
        </w:numPr>
        <w:pStyle w:val="Heading2"/>
      </w:pPr>
      <w:bookmarkStart w:id="26" w:name="onboarding-and-cultural-integration"/>
      <w:r>
        <w:t xml:space="preserve">5. Onboarding and Cultural Integration</w:t>
      </w:r>
      <w:bookmarkEnd w:id="26"/>
    </w:p>
    <w:p>
      <w:pPr>
        <w:numPr>
          <w:ilvl w:val="0"/>
          <w:numId w:val="1000"/>
        </w:numPr>
      </w:pPr>
      <w:r>
        <w:t xml:space="preserve">Transitioning into a new academic role in Australia Melbourne requires careful onboarding. The project plan includes a structured three-month induction period designed to facilitate smooth integration.</w:t>
      </w:r>
    </w:p>
    <w:p>
      <w:pPr>
        <w:numPr>
          <w:ilvl w:val="0"/>
          <w:numId w:val="1000"/>
        </w:numPr>
        <w:pStyle w:val="Heading3"/>
      </w:pPr>
      <w:bookmarkStart w:id="27" w:name="academic-orientation"/>
      <w:r>
        <w:t xml:space="preserve">5.1 Academic Orientation</w:t>
      </w:r>
      <w:bookmarkEnd w:id="27"/>
    </w:p>
    <w:p>
      <w:pPr>
        <w:numPr>
          <w:ilvl w:val="0"/>
          <w:numId w:val="1000"/>
        </w:numPr>
      </w:pPr>
      <w:r>
        <w:t xml:space="preserve">New Professors will participate in workshops regarding Australian higher education regulations, research ethics compliance, and grant funding mechanisms specific to the National Health and Medical Research Council (NHMRC) and the Australian Research Council (ARC).</w:t>
      </w:r>
    </w:p>
    <w:p>
      <w:pPr>
        <w:numPr>
          <w:ilvl w:val="0"/>
          <w:numId w:val="1000"/>
        </w:numPr>
        <w:pStyle w:val="Heading3"/>
      </w:pPr>
      <w:bookmarkStart w:id="28" w:name="social-and-community-integration"/>
      <w:r>
        <w:t xml:space="preserve">5.2 Social and Community Integration</w:t>
      </w:r>
      <w:bookmarkEnd w:id="28"/>
    </w:p>
    <w:p>
      <w:pPr>
        <w:numPr>
          <w:ilvl w:val="0"/>
          <w:numId w:val="1000"/>
        </w:numPr>
      </w:pPr>
      <w:r>
        <w:t xml:space="preserve">To support personal well-being, especially for expatriate Professors, we will provide resources on housing in Australia Melbourne, local schooling options for dependents if applicable, and community engagement opportunities. Melbourne’s reputation as a cultural capital provides ample opportunities for networking through its arts scene, sporting events, and culinary diversity.</w:t>
      </w:r>
    </w:p>
    <w:p>
      <w:pPr>
        <w:numPr>
          <w:ilvl w:val="0"/>
          <w:numId w:val="1000"/>
        </w:numPr>
        <w:pStyle w:val="Heading2"/>
      </w:pPr>
      <w:bookmarkStart w:id="29" w:name="expected-outcomes-and-kpis"/>
      <w:r>
        <w:t xml:space="preserve">6. Expected Outcomes and KPIs</w:t>
      </w:r>
      <w:bookmarkEnd w:id="29"/>
    </w:p>
    <w:p>
      <w:pPr>
        <w:numPr>
          <w:ilvl w:val="0"/>
          <w:numId w:val="1000"/>
        </w:numPr>
      </w:pPr>
      <w:r>
        <w:t xml:space="preserve">The success of this project will be measured against several Key Performance Indicators (KPIs) over the first three years:</w:t>
      </w:r>
    </w:p>
    <w:p>
      <w:pPr>
        <w:pStyle w:val="FirstParagraph"/>
      </w:pPr>
      <w:r>
        <w:rPr>
          <w:bCs/>
          <w:b/>
        </w:rPr>
        <w:t xml:space="preserve">Research Funding:</w:t>
      </w:r>
      <w:r>
        <w:t xml:space="preserve"> </w:t>
      </w:r>
      <w:r>
        <w:t xml:space="preserve">Securing at least AUD $5 million in external research grants related to urban sustainability.</w:t>
      </w:r>
    </w:p>
    <w:p>
      <w:pPr>
        <w:pStyle w:val="BodyText"/>
      </w:pPr>
      <w:r>
        <w:t xml:space="preserve">Publication Output: Publishing a minimum of five high-impact journal articles in collaboration with local and international partners.</w:t>
      </w:r>
    </w:p>
    <w:p>
      <w:pPr>
        <w:pStyle w:val="BodyText"/>
      </w:pPr>
      <w:r>
        <w:t xml:space="preserve">Industry Partnerships:** Establishing three formal collaborative agreements with organizations based in Australia Melbourne.</w:t>
      </w:r>
    </w:p>
    <w:p>
      <w:pPr>
        <w:pStyle w:val="BodyText"/>
      </w:pPr>
      <w:r>
        <w:t xml:space="preserve">The presence of a renowned Professor will enhance the institution’s global ranking, attract high-caliber doctoral candidates, and increase visibility in the academic community. Furthermore, it strengthens our contribution to the intellectual capital of Australia Melbourne.</w:t>
      </w:r>
    </w:p>
    <w:bookmarkEnd w:id="30"/>
    <w:bookmarkStart w:id="31" w:name="risk-management"/>
    <w:p>
      <w:pPr>
        <w:pStyle w:val="Heading2"/>
      </w:pPr>
      <w:r>
        <w:t xml:space="preserve">7. Risk Management</w:t>
      </w:r>
    </w:p>
    <w:p>
      <w:pPr>
        <w:pStyle w:val="FirstParagraph"/>
      </w:pPr>
      <w:r>
        <w:t xml:space="preserve">Risks associated with this project include potential delays in visa processing, cultural misalignment during the onboarding phase, or fluctuations in government research funding. Mitigation strategies involve maintaining open communication channels with immigration lawyers, providing mentorship programs for new appointees, and diversifying funding sources to reduce reliance on single grants.</w:t>
      </w:r>
    </w:p>
    <w:bookmarkEnd w:id="31"/>
    <w:bookmarkStart w:id="32" w:name="conclusion"/>
    <w:p>
      <w:pPr>
        <w:pStyle w:val="Heading2"/>
      </w:pPr>
      <w:r>
        <w:t xml:space="preserve">8. Conclusion</w:t>
      </w:r>
    </w:p>
    <w:p>
      <w:pPr>
        <w:pStyle w:val="FirstParagraph"/>
      </w:pPr>
      <w:r>
        <w:t xml:space="preserve">The appointment of a Professor is a transformative step for our institution in Australia Melbourne. By executing this project report’s strategic framework, we ensure that the new appointee is not only academically distinguished but also well-integrated into the vibrant socio-academic ecosystem of Australia Melbourne. This initiative underscores our commitment to excellence, innovation, and global engagement.</w:t>
      </w:r>
    </w:p>
    <w:p>
      <w:pPr>
        <w:pStyle w:val="BodyText"/>
      </w:pPr>
      <w:r>
        <w:t xml:space="preserve">We request board approval to proceed with Phase 1 of the recruitment strategy immediately. The timely execution of this project will position us favorably for the upcoming academic year and solidify our standing as a leading university in Australia Melbourne.</w:t>
      </w:r>
    </w:p>
    <w:p>
      <w:pPr>
        <w:pStyle w:val="BodyText"/>
      </w:pPr>
      <w:r>
        <w:t xml:space="preserve">© 2023 University Executive Board. All Rights Reserved.</w:t>
      </w:r>
      <w:r>
        <w:br/>
      </w:r>
      <w:r>
        <w:t xml:space="preserve">Prepared for Internal Use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Leadership and Strategic Integration of a Professorial Role in Australia Melbourne</dc:title>
  <dc:creator/>
  <dc:language>en</dc:language>
  <cp:keywords/>
  <dcterms:created xsi:type="dcterms:W3CDTF">2026-07-29T10:28:19Z</dcterms:created>
  <dcterms:modified xsi:type="dcterms:W3CDTF">2026-07-29T10:28:19Z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