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Professorship</w:t>
      </w:r>
      <w:r>
        <w:t xml:space="preserve"> </w:t>
      </w:r>
      <w:r>
        <w:t xml:space="preserve">Establishment</w:t>
      </w:r>
      <w:r>
        <w:t xml:space="preserve"> </w:t>
      </w:r>
      <w:r>
        <w:t xml:space="preserve">in</w:t>
      </w:r>
      <w:r>
        <w:t xml:space="preserve"> </w:t>
      </w:r>
      <w:r>
        <w:t xml:space="preserve">Australia,</w:t>
      </w:r>
      <w:r>
        <w:t xml:space="preserve"> </w:t>
      </w:r>
      <w:r>
        <w:t xml:space="preserve">Sydney</w:t>
      </w:r>
    </w:p>
    <w:bookmarkStart w:id="29" w:name="Xedbd0b1e6e4716ace03c3e4d91f443ab78505fa"/>
    <w:p>
      <w:pPr>
        <w:pStyle w:val="Heading1"/>
      </w:pPr>
      <w:r>
        <w:rPr>
          <w:bCs/>
          <w:b/>
        </w:rPr>
        <w:t xml:space="preserve">Project Report:</w:t>
      </w:r>
      <w:r>
        <w:br/>
      </w:r>
      <w:r>
        <w:t xml:space="preserve">The Establishment of a Distinguished Professorship in Australia, Sydney</w:t>
      </w:r>
    </w:p>
    <w:p>
      <w:pPr>
        <w:pStyle w:val="FirstParagraph"/>
      </w:pPr>
      <w:r>
        <w:rPr>
          <w:bCs/>
          <w:b/>
        </w:rPr>
        <w:t xml:space="preserve">Date:</w:t>
      </w:r>
      <w:r>
        <w:t xml:space="preserve"> </w:t>
      </w:r>
      <w:r>
        <w:t xml:space="preserve">October 26, 2023</w:t>
      </w:r>
      <w:r>
        <w:br/>
      </w:r>
      <w:r>
        <w:rPr>
          <w:bCs/>
          <w:b/>
        </w:rPr>
        <w:t xml:space="preserve">To:</w:t>
      </w:r>
      <w:r>
        <w:t xml:space="preserve">The University Council and Board of Directors</w:t>
      </w:r>
      <w:r>
        <w:br/>
      </w:r>
    </w:p>
    <w:p>
      <w:pPr>
        <w:pStyle w:val="BodyText"/>
      </w:pPr>
      <w:r>
        <w:t xml:space="preserve">From:</w:t>
      </w:r>
    </w:p>
    <w:p>
      <w:pPr>
        <w:pStyle w:val="BodyText"/>
      </w:pPr>
      <w:r>
        <w:t xml:space="preserve">Subject: Executive Summary and Detailed Analysis for the Creation of a Senior Academic Chair in Australia, Sydney</w:t>
      </w:r>
    </w:p>
    <w:bookmarkStart w:id="20" w:name="executive-summary"/>
    <w:p>
      <w:pPr>
        <w:pStyle w:val="Heading2"/>
      </w:pPr>
      <w:r>
        <w:t xml:space="preserve">1. Executive Summary</w:t>
      </w:r>
    </w:p>
    <w:p>
      <w:pPr>
        <w:pStyle w:val="FirstParagraph"/>
      </w:pPr>
      <w:r>
        <w:t xml:space="preserve">This Project Report outlines the strategic necessity, logistical framework, and financial implications of establishing a new senior academic chair, specifically titled "Professor," at our institution’s primary campus located in Australia, Sydney. The goal is to elevate the global standing of our research output and enhance educational quality within one of the world’s most competitive higher education markets. By focusing on high-impact research areas relevant to the local ecosystem of Australia, Sydney will serve as a hub for innovation, attracting top-tier talent and fostering international collaboration. This document details why this role is critical, how it aligns with national priorities in Australia, and the operational steps required to secure a distinguished Professor.</w:t>
      </w:r>
    </w:p>
    <w:bookmarkEnd w:id="20"/>
    <w:bookmarkStart w:id="21" w:name="strategic-context-and-rationale"/>
    <w:p>
      <w:pPr>
        <w:pStyle w:val="Heading2"/>
      </w:pPr>
      <w:r>
        <w:t xml:space="preserve">2. Strategic Context and Rationale</w:t>
      </w:r>
    </w:p>
    <w:p>
      <w:pPr>
        <w:pStyle w:val="FirstParagraph"/>
      </w:pPr>
      <w:r>
        <w:t xml:space="preserve">The decision to appoint a Professor is not merely an administrative expansion but a strategic intervention designed to address gaps in specialized knowledge sectors. The academic landscape in Australia, Sydney, is characterized by intense competition among leading universities such as the University of Sydney, UNSW Sydney, and the University of New South Wales. To maintain relevance and prestige, our institution must demonstrate exceptional scholarly leadership.</w:t>
      </w:r>
    </w:p>
    <w:p>
      <w:pPr>
        <w:pStyle w:val="BodyText"/>
      </w:pPr>
      <w:r>
        <w:t xml:space="preserve">A Professor serves as a beacon for academic excellence. In the context of Australia, Sydney’s diverse demographic and economic profile offers unique research opportunities in fields such as marine biology (leveraging proximity to the Great Barrier Reef), urban planning (addressing rapid metropolitan growth), and sustainable energy solutions. By appointing a Professor with expertise in these areas, we position our institution at the forefront of solving regional challenges while contributing to global scientific discourse. This move is essential for securing competitive government grants within Australia, which increasingly favor collaborative, interdisciplinary projects led by senior academics.</w:t>
      </w:r>
    </w:p>
    <w:bookmarkEnd w:id="21"/>
    <w:bookmarkStart w:id="22" w:name="role-definition-and-responsibilities"/>
    <w:p>
      <w:pPr>
        <w:pStyle w:val="Heading2"/>
      </w:pPr>
      <w:r>
        <w:t xml:space="preserve">3. Role Definition and Responsibilities</w:t>
      </w:r>
    </w:p>
    <w:p>
      <w:pPr>
        <w:pStyle w:val="FirstParagraph"/>
      </w:pPr>
      <w:r>
        <w:t xml:space="preserve">The appointed Professor will hold a tenured or long-term contract position with comprehensive responsibilities that extend beyond traditional teaching. Key duties include:</w:t>
      </w:r>
    </w:p>
    <w:p>
      <w:pPr>
        <w:numPr>
          <w:ilvl w:val="0"/>
          <w:numId w:val="1001"/>
        </w:numPr>
        <w:pStyle w:val="Compact"/>
      </w:pPr>
      <w:r>
        <w:rPr>
          <w:bCs/>
          <w:b/>
        </w:rPr>
        <w:t xml:space="preserve">Scholarly Leadership:</w:t>
      </w:r>
    </w:p>
    <w:p>
      <w:pPr>
        <w:numPr>
          <w:ilvl w:val="0"/>
          <w:numId w:val="1001"/>
        </w:numPr>
        <w:pStyle w:val="Compact"/>
      </w:pPr>
      <w:r>
        <w:rPr>
          <w:bCs/>
          <w:b/>
        </w:rPr>
        <w:t xml:space="preserve">Mentorship:</w:t>
      </w:r>
    </w:p>
    <w:p>
      <w:pPr>
        <w:numPr>
          <w:ilvl w:val="0"/>
          <w:numId w:val="1001"/>
        </w:numPr>
        <w:pStyle w:val="Compact"/>
      </w:pPr>
      <w:r>
        <w:rPr>
          <w:bCs/>
          <w:b/>
        </w:rPr>
        <w:t xml:space="preserve">Civic Engagement:</w:t>
      </w:r>
    </w:p>
    <w:p>
      <w:pPr>
        <w:numPr>
          <w:ilvl w:val="0"/>
          <w:numId w:val="1001"/>
        </w:numPr>
        <w:pStyle w:val="Compact"/>
      </w:pPr>
      <w:r>
        <w:rPr>
          <w:bCs/>
          <w:b/>
        </w:rPr>
        <w:t xml:space="preserve">Curriculum Development:</w:t>
      </w:r>
    </w:p>
    <w:bookmarkEnd w:id="22"/>
    <w:bookmarkStart w:id="23" w:name="Xec6ec01934077040ea870336085cafb65b34c92"/>
    <w:p>
      <w:pPr>
        <w:pStyle w:val="Heading2"/>
      </w:pPr>
      <w:r>
        <w:t xml:space="preserve">4. Market Analysis: The Academic Environment in Australia, Sydney</w:t>
      </w:r>
    </w:p>
    <w:p>
      <w:pPr>
        <w:pStyle w:val="FirstParagraph"/>
      </w:pPr>
      <w:r>
        <w:t xml:space="preserve">Sydney remains a premier destination for higher education in the Asia-Pacific region. The demand for specialized expertise is high, driven by both government initiatives and private sector needs. However, the market is saturated with international candidates vying for limited senior roles.</w:t>
      </w:r>
    </w:p>
    <w:p>
      <w:pPr>
        <w:pStyle w:val="BodyText"/>
      </w:pPr>
      <w:r>
        <w:rPr>
          <w:bCs/>
          <w:b/>
        </w:rPr>
        <w:t xml:space="preserve">Competitive Landscape:</w:t>
      </w:r>
      <w:r>
        <w:t xml:space="preserve">To attract a candidate of sufficient caliber to hold a Professor title, our remuneration package must be competitive not only with other Australian institutions but also with global counterparts in Europe and North America. The cost of living in Australia, Sydney is among the highest globally, which necessitates a salary structure that accounts for housing and lifestyle costs.</w:t>
      </w:r>
    </w:p>
    <w:p>
      <w:pPr>
        <w:pStyle w:val="BodyText"/>
      </w:pPr>
      <w:r>
        <w:rPr>
          <w:bCs/>
          <w:b/>
        </w:rPr>
        <w:t xml:space="preserve">Diversity and Inclusion:</w:t>
      </w:r>
      <w:r>
        <w:t xml:space="preserve">The academic environment in Australia places significant emphasis on diversity. Therefore, our recruitment process for this Professor role must prioritize inclusivity, seeking candidates from diverse cultural backgrounds who can contribute to the multicultural fabric of the Sydney community.</w:t>
      </w:r>
    </w:p>
    <w:bookmarkEnd w:id="23"/>
    <w:bookmarkStart w:id="24" w:name="financial-implications-and-budgeting"/>
    <w:p>
      <w:pPr>
        <w:pStyle w:val="Heading2"/>
      </w:pPr>
      <w:r>
        <w:t xml:space="preserve">5. Financial Implications and Budgeting</w:t>
      </w:r>
    </w:p>
    <w:p>
      <w:pPr>
        <w:pStyle w:val="FirstParagraph"/>
      </w:pPr>
      <w:r>
        <w:t xml:space="preserve">The establishment of a Professorship involves substantial initial investment and ongoing operational costs. A detailed budget breakdown is provided below:</w:t>
      </w:r>
    </w:p>
    <w:p>
      <w:pPr>
        <w:numPr>
          <w:ilvl w:val="0"/>
          <w:numId w:val="1002"/>
        </w:numPr>
        <w:pStyle w:val="Compact"/>
      </w:pPr>
      <w:r>
        <w:rPr>
          <w:bCs/>
          <w:b/>
        </w:rPr>
        <w:t xml:space="preserve">Salary Package:</w:t>
      </w:r>
    </w:p>
    <w:p>
      <w:pPr>
        <w:numPr>
          <w:ilvl w:val="0"/>
          <w:numId w:val="1002"/>
        </w:numPr>
        <w:pStyle w:val="Compact"/>
      </w:pPr>
      <w:r>
        <w:rPr>
          <w:bCs/>
          <w:b/>
        </w:rPr>
        <w:t xml:space="preserve">Research Start-up Funds:</w:t>
      </w:r>
      <w:r>
        <w:t xml:space="preserve"> </w:t>
      </w:r>
      <w:r>
        <w:t xml:space="preserve">A lump sum of AUD 15 million is allocated for the first three years to establish laboratories, purchase equipment, and hire research assistants.</w:t>
      </w:r>
    </w:p>
    <w:p>
      <w:pPr>
        <w:numPr>
          <w:ilvl w:val="0"/>
          <w:numId w:val="1002"/>
        </w:numPr>
        <w:pStyle w:val="Compact"/>
      </w:pPr>
      <w:r>
        <w:rPr>
          <w:bCs/>
          <w:b/>
        </w:rPr>
        <w:t xml:space="preserve">Housing Allowance:</w:t>
      </w:r>
      <w:r>
        <w:t xml:space="preserve">A relocation and housing subsidy of AUD 50,00 per year for the first five years to assist with the high property market prices in Australia Sydney.</w:t>
      </w:r>
    </w:p>
    <w:p>
      <w:pPr>
        <w:numPr>
          <w:ilvl w:val="0"/>
          <w:numId w:val="1002"/>
        </w:numPr>
        <w:pStyle w:val="Compact"/>
      </w:pPr>
      <w:r>
        <w:rPr>
          <w:bCs/>
          <w:b/>
        </w:rPr>
        <w:t xml:space="preserve">Administrative Support:</w:t>
      </w:r>
      <w:r>
        <w:t xml:space="preserve">Funding for a dedicated executive assistant and IT support staff.</w:t>
      </w:r>
    </w:p>
    <w:p>
      <w:pPr>
        <w:pStyle w:val="FirstParagraph"/>
      </w:pPr>
      <w:r>
        <w:t xml:space="preserve">Total projected initial investment: Approximately AUD 2.5 million over the first three years, excluding salary.</w:t>
      </w:r>
    </w:p>
    <w:bookmarkEnd w:id="24"/>
    <w:bookmarkStart w:id="25" w:name="recruitment-strategy"/>
    <w:p>
      <w:pPr>
        <w:pStyle w:val="Heading2"/>
      </w:pPr>
      <w:r>
        <w:t xml:space="preserve">6. Recruitment Strategy</w:t>
      </w:r>
    </w:p>
    <w:p>
      <w:pPr>
        <w:pStyle w:val="FirstParagraph"/>
      </w:pPr>
      <w:r>
        <w:t xml:space="preserve">The recruitment process will be rigorous and transparent, adhering to Australian employment laws and university governance policies. The steps include:</w:t>
      </w:r>
    </w:p>
    <w:p>
      <w:pPr>
        <w:numPr>
          <w:ilvl w:val="0"/>
          <w:numId w:val="1003"/>
        </w:numPr>
        <w:pStyle w:val="Compact"/>
      </w:pPr>
      <w:r>
        <w:rPr>
          <w:bCs/>
          <w:b/>
        </w:rPr>
        <w:t xml:space="preserve">Tenure Track Analysis:</w:t>
      </w:r>
      <w:r>
        <w:t xml:space="preserve">Candidates with existing tenures from other reputable universities will be given priority.</w:t>
      </w:r>
    </w:p>
    <w:p>
      <w:pPr>
        <w:numPr>
          <w:ilvl w:val="0"/>
          <w:numId w:val="1003"/>
        </w:numPr>
        <w:pStyle w:val="Compact"/>
      </w:pPr>
      <w:r>
        <w:rPr>
          <w:bCs/>
          <w:b/>
        </w:rPr>
        <w:t xml:space="preserve">Interview Process:</w:t>
      </w:r>
      <w:r>
        <w:t xml:space="preserve">Preliminary interviews via video conference, followed by a mandatory on-site visit to Australia Sydney for final candidates. This allows candidates to assess the campus facilities and engage with potential collaborators.</w:t>
      </w:r>
    </w:p>
    <w:p>
      <w:pPr>
        <w:numPr>
          <w:ilvl w:val="0"/>
          <w:numId w:val="1003"/>
        </w:numPr>
        <w:pStyle w:val="Compact"/>
      </w:pPr>
      <w:r>
        <w:rPr>
          <w:bCs/>
          <w:b/>
        </w:rPr>
        <w:t xml:space="preserve">Vetting:</w:t>
      </w:r>
      <w:r>
        <w:t xml:space="preserve">All shortlisted candidates will undergo background checks and reference verifications in accordance with national standards.</w:t>
      </w:r>
    </w:p>
    <w:bookmarkEnd w:id="25"/>
    <w:bookmarkStart w:id="26" w:name="risk-management"/>
    <w:p>
      <w:pPr>
        <w:pStyle w:val="Heading2"/>
      </w:pPr>
      <w:r>
        <w:t xml:space="preserve">7. Risk Management</w:t>
      </w:r>
    </w:p>
    <w:p>
      <w:pPr>
        <w:pStyle w:val="FirstParagraph"/>
      </w:pPr>
      <w:r>
        <w:rPr>
          <w:bCs/>
          <w:b/>
        </w:rPr>
        <w:t xml:space="preserve">Talent Acquisition Risk:</w:t>
      </w:r>
      <w:r>
        <w:t xml:space="preserve">The primary risk is failing to attract a candidate of the required caliber. Mitigation strategies include leveraging our global alumni network and partnering with headhunting firms specializing in academic recruitment.</w:t>
      </w:r>
    </w:p>
    <w:p>
      <w:pPr>
        <w:pStyle w:val="BodyText"/>
      </w:pPr>
      <w:r>
        <w:rPr>
          <w:bCs/>
          <w:b/>
        </w:rPr>
        <w:t xml:space="preserve">Budgetary Overruns:</w:t>
      </w:r>
      <w:r>
        <w:t xml:space="preserve">Rising costs in Australia, Sydney could impact operational budgets. We will implement strict financial controls and periodic reviews to ensure expenditures align with projections.</w:t>
      </w:r>
    </w:p>
    <w:p>
      <w:pPr>
        <w:pStyle w:val="BodyText"/>
      </w:pPr>
      <w:r>
        <w:rPr>
          <w:bCs/>
          <w:b/>
        </w:rPr>
        <w:t xml:space="preserve">Retention Risk:</w:t>
      </w:r>
      <w:r>
        <w:t xml:space="preserve">New Professors may leave for better opportunities elsewhere. To mitigate this, we offer clear pathways for career progression, research autonomy, and a supportive institutional culture.</w:t>
      </w:r>
    </w:p>
    <w:bookmarkEnd w:id="26"/>
    <w:bookmarkStart w:id="27" w:name="timeline-and-milestones"/>
    <w:p>
      <w:pPr>
        <w:pStyle w:val="Heading2"/>
      </w:pPr>
      <w:r>
        <w:t xml:space="preserve">8. Timeline and Milestones</w:t>
      </w:r>
    </w:p>
    <w:p>
      <w:pPr>
        <w:numPr>
          <w:ilvl w:val="0"/>
          <w:numId w:val="1004"/>
        </w:numPr>
        <w:pStyle w:val="Compact"/>
      </w:pPr>
      <w:r>
        <w:rPr>
          <w:bCs/>
          <w:b/>
        </w:rPr>
        <w:t xml:space="preserve">Month 1-2:</w:t>
      </w:r>
      <w:r>
        <w:t xml:space="preserve">Budget approval by the Board.</w:t>
      </w:r>
    </w:p>
    <w:p>
      <w:pPr>
        <w:numPr>
          <w:ilvl w:val="0"/>
          <w:numId w:val="1004"/>
        </w:numPr>
        <w:pStyle w:val="Compact"/>
      </w:pPr>
      <w:r>
        <w:t xml:space="preserve">JOB advertisement and initial screening of applications.</w:t>
      </w:r>
    </w:p>
    <w:p>
      <w:pPr>
        <w:numPr>
          <w:ilvl w:val="0"/>
          <w:numId w:val="1004"/>
        </w:numPr>
        <w:pStyle w:val="Compact"/>
      </w:pPr>
    </w:p>
    <w:p>
      <w:pPr>
        <w:numPr>
          <w:ilvl w:val="0"/>
          <w:numId w:val="1004"/>
        </w:numPr>
        <w:pStyle w:val="Compact"/>
      </w:pPr>
      <w:r>
        <w:t xml:space="preserve">MOnth 7:</w:t>
      </w:r>
      <w:r>
        <w:rPr>
          <w:bCs/>
          <w:b/>
        </w:rPr>
        <w:t xml:space="preserve">O n-site visits in Australia Sydney for final candidates.</w:t>
      </w:r>
    </w:p>
    <w:p>
      <w:pPr>
        <w:numPr>
          <w:ilvl w:val="0"/>
          <w:numId w:val="1004"/>
        </w:numPr>
        <w:pStyle w:val="Compact"/>
      </w:pPr>
      <w:r>
        <w:t xml:space="preserve">MOnth 8:</w:t>
      </w:r>
      <w:r>
        <w:t xml:space="preserve"> </w:t>
      </w:r>
      <w:r>
        <w:rPr>
          <w:bCs/>
          <w:b/>
        </w:rPr>
        <w:t xml:space="preserve">Offer extension and negotiation.</w:t>
      </w:r>
    </w:p>
    <w:p>
      <w:pPr>
        <w:numPr>
          <w:ilvl w:val="0"/>
          <w:numId w:val="1004"/>
        </w:numPr>
        <w:pStyle w:val="Compact"/>
      </w:pPr>
      <w:r>
        <w:t xml:space="preserve">MOnth 9-12:</w:t>
      </w:r>
    </w:p>
    <w:p>
      <w:pPr>
        <w:numPr>
          <w:ilvl w:val="0"/>
          <w:numId w:val="1000"/>
        </w:numPr>
        <w:pStyle w:val="Compact"/>
      </w:pPr>
      <w:r>
        <w:t xml:space="preserve">Onboarding, relocation, and commencement of research activities.</w:t>
      </w:r>
    </w:p>
    <w:bookmarkEnd w:id="27"/>
    <w:bookmarkStart w:id="28" w:name="conclusion"/>
    <w:p>
      <w:pPr>
        <w:pStyle w:val="Heading2"/>
      </w:pPr>
      <w:r>
        <w:t xml:space="preserve">9 Conclusion</w:t>
      </w:r>
    </w:p>
    <w:p>
      <w:pPr>
        <w:pStyle w:val="FirstParagraph"/>
      </w:pPr>
      <w:r>
        <w:t xml:space="preserve">The establishment of a Professorship in Australia Sydney is a transformative step for our institution. It signals our commitment to academic excellence and positions us as a key player in the global research community. By leveraging the unique advantages of Sydney’s location and economic environment, we can create an impactful academic role that benefits students, staff, and the broader community.</w:t>
      </w:r>
    </w:p>
    <w:p>
      <w:pPr>
        <w:pStyle w:val="BodyText"/>
      </w:pPr>
      <w:r>
        <w:t xml:space="preserve">This Project Report has demonstrated that while the financial and logistical challenges are significant, they are manageable with proper planning. The long-term gains in reputation, research output, and student satisfaction justify the investment. We recommend immediate approval of this project to begin the recruitment process without delay.</w:t>
      </w:r>
    </w:p>
    <w:p>
      <w:pPr>
        <w:pStyle w:val="BodyText"/>
      </w:pPr>
      <w:r>
        <w:rPr>
          <w:bCs/>
          <w:b/>
        </w:rPr>
        <w:t xml:space="preserve">End of Document</w:t>
      </w:r>
      <w:r>
        <w:br/>
      </w:r>
      <w:r>
        <w:t xml:space="preserve">This Project Report regarding the Professor position in Australia Sydney is confidential and intended for internal review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Professorship Establishment in Australia, Sydney</dc:title>
  <dc:creator/>
  <dc:language>en</dc:language>
  <cp:keywords/>
  <dcterms:created xsi:type="dcterms:W3CDTF">2026-07-29T12:02:21Z</dcterms:created>
  <dcterms:modified xsi:type="dcterms:W3CDTF">2026-07-29T12:02:21Z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