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Professorial</w:t>
      </w:r>
      <w:r>
        <w:t xml:space="preserve"> </w:t>
      </w:r>
      <w:r>
        <w:t xml:space="preserve">Talent</w:t>
      </w:r>
      <w:r>
        <w:t xml:space="preserve"> </w:t>
      </w:r>
      <w:r>
        <w:t xml:space="preserve">in</w:t>
      </w:r>
      <w:r>
        <w:t xml:space="preserve"> </w:t>
      </w:r>
      <w:r>
        <w:t xml:space="preserve">Canada</w:t>
      </w:r>
      <w:r>
        <w:t xml:space="preserve"> </w:t>
      </w:r>
      <w:r>
        <w:t xml:space="preserve">Toronto</w:t>
      </w:r>
    </w:p>
    <w:bookmarkStart w:id="34" w:name="X2772b2fea76f53b0bd84521aabc55b4049869c8"/>
    <w:p>
      <w:pPr>
        <w:pStyle w:val="Heading1"/>
      </w:pPr>
      <w:r>
        <w:t xml:space="preserve">Project Report: Strategic Faculty Recruitment and Retention Framework for Academic Institutions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Administration Board, Canada Toronto Regional Education Consortium</w:t>
      </w:r>
      <w:r>
        <w:br/>
      </w:r>
      <w:r>
        <w:rPr>
          <w:bCs/>
          <w:b/>
        </w:rPr>
        <w:t xml:space="preserve">From:</w:t>
      </w:r>
      <w:r>
        <w:t xml:space="preserve"> </w:t>
      </w:r>
      <w:r>
        <w:t xml:space="preserve">Strategic Planning Committee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analysis of the current state, challenges, and strategic opportunities regarding faculty recruitment and retention within higher education institutions located in</w:t>
      </w:r>
      <w:r>
        <w:t xml:space="preserve"> </w:t>
      </w:r>
      <w:r>
        <w:rPr>
          <w:bCs/>
          <w:b/>
        </w:rPr>
        <w:t xml:space="preserve">Canada Toronto</w:t>
      </w:r>
      <w:r>
        <w:t xml:space="preserve">. As one of the most diverse and dynamic metropolitan regions in North America, Toronto serves as a critical hub for academic innovation. However, attracting top-tier professorial talent remains a competitive challenge due to global market pressures and local economic factors. This document outlines the necessity of adapting our recruitment strategies to specifically address the needs of prospective professors aiming to relocate or establish careers in</w:t>
      </w:r>
      <w:r>
        <w:t xml:space="preserve"> </w:t>
      </w:r>
      <w:r>
        <w:rPr>
          <w:bCs/>
          <w:b/>
        </w:rPr>
        <w:t xml:space="preserve">Canada Toronto</w:t>
      </w:r>
      <w:r>
        <w:t xml:space="preserve">. The ultimate goal is to enhance institutional prestige, research output, and educational quality through targeted professor-centric initiatives.</w:t>
      </w:r>
    </w:p>
    <w:bookmarkEnd w:id="20"/>
    <w:bookmarkStart w:id="21" w:name="introduction-and-context"/>
    <w:p>
      <w:pPr>
        <w:pStyle w:val="Heading2"/>
      </w:pPr>
      <w:r>
        <w:t xml:space="preserve">2. Introduction and Context</w:t>
      </w:r>
    </w:p>
    <w:p>
      <w:pPr>
        <w:pStyle w:val="FirstParagraph"/>
      </w:pPr>
      <w:r>
        <w:t xml:space="preserve">The academic landscape in Canada has undergone significant transformation over the last decade. Within this national framework, Toronto has emerged as a preeminent center for research and development. The city is home to three major research-intensive universities (University of Toronto, York University, and Ryerson/TMU), creating a dense ecosystem of intellectual capital. However, the role of the</w:t>
      </w:r>
      <w:r>
        <w:t xml:space="preserve"> </w:t>
      </w:r>
      <w:r>
        <w:rPr>
          <w:bCs/>
          <w:b/>
        </w:rPr>
        <w:t xml:space="preserve">Professor</w:t>
      </w:r>
      <w:r>
        <w:t xml:space="preserve"> </w:t>
      </w:r>
      <w:r>
        <w:t xml:space="preserve">in this ecosystem is evolving. Modern professors are no longer just educators; they are industry partners, community leaders, and global researchers.</w:t>
      </w:r>
    </w:p>
    <w:p>
      <w:pPr>
        <w:pStyle w:val="BodyText"/>
      </w:pPr>
      <w:r>
        <w:t xml:space="preserve">This Project Report aims to dissect the specific barriers that hinder effective hiring processes for these roles in</w:t>
      </w:r>
      <w:r>
        <w:t xml:space="preserve"> </w:t>
      </w:r>
      <w:r>
        <w:rPr>
          <w:bCs/>
          <w:b/>
        </w:rPr>
        <w:t xml:space="preserve">Canada Toronto</w:t>
      </w:r>
      <w:r>
        <w:t xml:space="preserve">. It argues that a one-size-fits-all approach to faculty recruitment is obsolete. Instead, institutions must adopt a localized strategy that acknowledges the unique cultural, economic, and professional expectations of scholars choosing</w:t>
      </w:r>
      <w:r>
        <w:t xml:space="preserve"> </w:t>
      </w:r>
      <w:r>
        <w:rPr>
          <w:bCs/>
          <w:b/>
        </w:rPr>
        <w:t xml:space="preserve">Canada Toronto</w:t>
      </w:r>
      <w:r>
        <w:t xml:space="preserve"> </w:t>
      </w:r>
      <w:r>
        <w:t xml:space="preserve">as their career destination.</w:t>
      </w:r>
    </w:p>
    <w:bookmarkEnd w:id="21"/>
    <w:bookmarkStart w:id="25" w:name="Xdf35b9d5a0685430a98d1a1eb51501ae1adcdb4"/>
    <w:p>
      <w:pPr>
        <w:pStyle w:val="Heading2"/>
      </w:pPr>
      <w:r>
        <w:t xml:space="preserve">3. Current Challenges in Recruiting Professorial Talent</w:t>
      </w:r>
    </w:p>
    <w:bookmarkStart w:id="22" w:name="global-competition-and-cost-of-living"/>
    <w:p>
      <w:pPr>
        <w:pStyle w:val="Heading3"/>
      </w:pPr>
      <w:r>
        <w:t xml:space="preserve">3.1 Global Competition and Cost of Living</w:t>
      </w:r>
    </w:p>
    <w:p>
      <w:pPr>
        <w:pStyle w:val="FirstParagraph"/>
      </w:pPr>
      <w:r>
        <w:t xml:space="preserve">The first major hurdle identified in this report is the intense global competition for academic talent. Universities worldwide are vying for the same pool of distinguished scholars. In</w:t>
      </w:r>
      <w:r>
        <w:t xml:space="preserve"> </w:t>
      </w:r>
      <w:r>
        <w:rPr>
          <w:bCs/>
          <w:b/>
        </w:rPr>
        <w:t xml:space="preserve">Canada Toronto</w:t>
      </w:r>
      <w:r>
        <w:t xml:space="preserve">, while the salary packages offered by Canadian institutions are competitive within North America, they often lag behind those offered in prestigious American Ivy League schools or wealthy Middle Eastern research hubs. Furthermore, the high cost of living in</w:t>
      </w:r>
      <w:r>
        <w:t xml:space="preserve"> </w:t>
      </w:r>
      <w:r>
        <w:rPr>
          <w:bCs/>
          <w:b/>
        </w:rPr>
        <w:t xml:space="preserve">Canada Toronto</w:t>
      </w:r>
      <w:r>
        <w:t xml:space="preserve">, particularly regarding housing and transportation, poses a significant deterrent to early-career professors and adjunct faculty members.</w:t>
      </w:r>
    </w:p>
    <w:bookmarkEnd w:id="22"/>
    <w:bookmarkStart w:id="23" w:name="the-brain-drain-vs.-brain-gain"/>
    <w:p>
      <w:pPr>
        <w:pStyle w:val="Heading3"/>
      </w:pPr>
      <w:r>
        <w:t xml:space="preserve">3.2 The "Brain Drain" vs. "Brain Gain"</w:t>
      </w:r>
    </w:p>
    <w:p>
      <w:pPr>
        <w:pStyle w:val="FirstParagraph"/>
      </w:pPr>
      <w:r>
        <w:rPr>
          <w:bCs/>
          <w:b/>
        </w:rPr>
        <w:t xml:space="preserve">Canada Toronto</w:t>
      </w:r>
      <w:r>
        <w:t xml:space="preserve"> </w:t>
      </w:r>
      <w:r>
        <w:t xml:space="preserve">has historically been a net importer of talent, attracting immigrants from across the globe. However, retaining mid-career professors is increasingly difficult due to visa processing delays and the complexity of spousal employment support. Many prospective professors hesitate to accept offers in</w:t>
      </w:r>
      <w:r>
        <w:t xml:space="preserve"> </w:t>
      </w:r>
      <w:r>
        <w:rPr>
          <w:bCs/>
          <w:b/>
        </w:rPr>
        <w:t xml:space="preserve">Canada Toronto</w:t>
      </w:r>
      <w:r>
        <w:t xml:space="preserve"> </w:t>
      </w:r>
      <w:r>
        <w:t xml:space="preserve">if they cannot guarantee dual-career opportunities for their partners or secure streamlined immigration pathways for their families.</w:t>
      </w:r>
    </w:p>
    <w:bookmarkEnd w:id="23"/>
    <w:bookmarkStart w:id="24" w:name="research-funding-disparities"/>
    <w:p>
      <w:pPr>
        <w:pStyle w:val="Heading3"/>
      </w:pPr>
      <w:r>
        <w:t xml:space="preserve">3.3 Research Funding Disparities</w:t>
      </w:r>
    </w:p>
    <w:p>
      <w:pPr>
        <w:pStyle w:val="FirstParagraph"/>
      </w:pPr>
      <w:r>
        <w:t xml:space="preserve">A critical factor in a professor’s decision-making process is the availability of research funding. While Canada Toronto boasts robust public funding mechanisms (such as CIHR and NSERC), private sector partnerships are sometimes less accessible compared to other global tech hubs. This report highlights the need for stronger university-industry collaboration models to ensure that professors have the financial resources necessary to conduct cutting-edge research.</w:t>
      </w:r>
    </w:p>
    <w:bookmarkEnd w:id="24"/>
    <w:bookmarkEnd w:id="25"/>
    <w:bookmarkStart w:id="30" w:name="strategic-recommendations"/>
    <w:p>
      <w:pPr>
        <w:pStyle w:val="Heading2"/>
      </w:pPr>
      <w:r>
        <w:t xml:space="preserve">4. Strategic Recommendations</w:t>
      </w:r>
    </w:p>
    <w:p>
      <w:pPr>
        <w:pStyle w:val="FirstParagraph"/>
      </w:pPr>
      <w:r>
        <w:t xml:space="preserve">To address these challenges, this Project Report proposes a multi-faceted strategy tailored specifically for the</w:t>
      </w:r>
      <w:r>
        <w:t xml:space="preserve"> </w:t>
      </w:r>
      <w:r>
        <w:rPr>
          <w:bCs/>
          <w:b/>
        </w:rPr>
        <w:t xml:space="preserve">Canada Toronto</w:t>
      </w:r>
      <w:r>
        <w:t xml:space="preserve"> </w:t>
      </w:r>
      <w:r>
        <w:t xml:space="preserve">context.</w:t>
      </w:r>
    </w:p>
    <w:bookmarkStart w:id="26" w:name="Xf3ffceaed810597d3f62caef5b3889e9ef629c4"/>
    <w:p>
      <w:pPr>
        <w:pStyle w:val="Heading3"/>
      </w:pPr>
      <w:r>
        <w:rPr>
          <w:bCs/>
          <w:b/>
        </w:rPr>
        <w:t xml:space="preserve">Pillar 1: Enhanced Relocation Support Packages</w:t>
      </w:r>
    </w:p>
    <w:p>
      <w:pPr>
        <w:pStyle w:val="FirstParagraph"/>
      </w:pPr>
      <w:r>
        <w:t xml:space="preserve">Institutions must move beyond standard relocation allowances. We recommend implementing comprehensive support systems that include:</w:t>
      </w:r>
    </w:p>
    <w:p>
      <w:pPr>
        <w:numPr>
          <w:ilvl w:val="0"/>
          <w:numId w:val="1001"/>
        </w:numPr>
        <w:pStyle w:val="Compact"/>
      </w:pPr>
      <w:r>
        <w:rPr>
          <w:bCs/>
          <w:b/>
        </w:rPr>
        <w:t xml:space="preserve">Housing Assistance:</w:t>
      </w:r>
      <w:r>
        <w:t xml:space="preserve"> </w:t>
      </w:r>
      <w:r>
        <w:t xml:space="preserve">Partnerships with local real estate agencies to provide temporary housing subsidies or low-interest loans for faculty purchasing homes in the Greater Toronto Area (GTA).</w:t>
      </w:r>
    </w:p>
    <w:p>
      <w:pPr>
        <w:numPr>
          <w:ilvl w:val="0"/>
          <w:numId w:val="1001"/>
        </w:numPr>
        <w:pStyle w:val="Compact"/>
      </w:pPr>
      <w:r>
        <w:rPr>
          <w:bCs/>
          <w:b/>
        </w:rPr>
        <w:t xml:space="preserve">Schooling Support:</w:t>
      </w:r>
      <w:r>
        <w:t xml:space="preserve"> </w:t>
      </w:r>
      <w:r>
        <w:t xml:space="preserve">Guaranteed placement assistance for spouses and children in top-performing school districts within</w:t>
      </w:r>
      <w:r>
        <w:t xml:space="preserve"> </w:t>
      </w:r>
      <w:r>
        <w:rPr>
          <w:bCs/>
          <w:b/>
        </w:rPr>
        <w:t xml:space="preserve">Canada Toronto</w:t>
      </w:r>
      <w:r>
        <w:t xml:space="preserve">.</w:t>
      </w:r>
    </w:p>
    <w:bookmarkEnd w:id="26"/>
    <w:bookmarkStart w:id="27" w:name="X1b87512765aba7d6fe99211c5a4fd555c62d5f7"/>
    <w:p>
      <w:pPr>
        <w:pStyle w:val="Heading3"/>
      </w:pPr>
      <w:r>
        <w:rPr>
          <w:bCs/>
          <w:b/>
        </w:rPr>
        <w:t xml:space="preserve">Pillar 2: Streamlined Immigration Pathways</w:t>
      </w:r>
    </w:p>
    <w:p>
      <w:pPr>
        <w:pStyle w:val="FirstParagraph"/>
      </w:pPr>
      <w:r>
        <w:t xml:space="preserve">The report recommends that universities in Toronto form a unified lobbying coalition with the federal government to expedite work permits and permanent residency applications specifically for tenured-track positions. By reducing bureaucratic red tape, institutions can become more attractive destinations for international professors.</w:t>
      </w:r>
    </w:p>
    <w:bookmarkEnd w:id="27"/>
    <w:bookmarkStart w:id="28" w:name="pillar-3-dual-career-programs"/>
    <w:p>
      <w:pPr>
        <w:pStyle w:val="Heading3"/>
      </w:pPr>
      <w:r>
        <w:rPr>
          <w:bCs/>
          <w:b/>
        </w:rPr>
        <w:t xml:space="preserve">Pillar 3: Dual-Career Programs</w:t>
      </w:r>
    </w:p>
    <w:p>
      <w:pPr>
        <w:pStyle w:val="FirstParagraph"/>
      </w:pPr>
      <w:r>
        <w:t xml:space="preserve">To mitigate the hesitation of candidates due to spousal employment issues, universities should establish dedicated dual-career offices. These offices would actively network with local corporations and other academic institutions in Toronto to find suitable positions for partners. This holistic approach demonstrates institutional commitment to the well-being of the entire professorial household.</w:t>
      </w:r>
    </w:p>
    <w:bookmarkEnd w:id="28"/>
    <w:bookmarkStart w:id="29" w:name="X1666e299ee3ab49ccff3988c97e6d7f9aab3de3"/>
    <w:p>
      <w:pPr>
        <w:pStyle w:val="Heading3"/>
      </w:pPr>
      <w:r>
        <w:rPr>
          <w:bCs/>
          <w:b/>
        </w:rPr>
        <w:t xml:space="preserve">Pillar 4: Community Integration and Cultural Adaptation</w:t>
      </w:r>
    </w:p>
    <w:p>
      <w:pPr>
        <w:pStyle w:val="FirstParagraph"/>
      </w:pPr>
      <w:r>
        <w:t xml:space="preserve">Toronto is celebrated for its multiculturalism. However, new professors may still face cultural adjustment issues. This Project Report suggests creating mentorship programs that pair incoming professors with senior faculty who have previously navigated the transition to life in Toronto. These mentors can provide guidance on navigating local culture, healthcare systems, and professional networks.</w:t>
      </w:r>
    </w:p>
    <w:bookmarkEnd w:id="29"/>
    <w:bookmarkEnd w:id="30"/>
    <w:bookmarkStart w:id="31" w:name="implementation-timeline"/>
    <w:p>
      <w:pPr>
        <w:pStyle w:val="Heading2"/>
      </w:pPr>
      <w:r>
        <w:t xml:space="preserve">5. Implementation Timeline</w:t>
      </w:r>
    </w:p>
    <w:p>
      <w:pPr>
        <w:pStyle w:val="FirstParagraph"/>
      </w:pPr>
      <w:r>
        <w:t xml:space="preserve">The proposed strategies should be rolled out in phases:</w:t>
      </w:r>
    </w:p>
    <w:p>
      <w:pPr>
        <w:numPr>
          <w:ilvl w:val="0"/>
          <w:numId w:val="1002"/>
        </w:numPr>
        <w:pStyle w:val="Compact"/>
      </w:pPr>
      <w:r>
        <w:rPr>
          <w:bCs/>
          <w:b/>
        </w:rPr>
        <w:t xml:space="preserve">Phase 1 (Months 1-6):</w:t>
      </w:r>
      <w:r>
        <w:t xml:space="preserve"> </w:t>
      </w:r>
      <w:r>
        <w:t xml:space="preserve">Establishment of the Dual-Career Office and review of current relocation policies.</w:t>
      </w:r>
    </w:p>
    <w:p>
      <w:pPr>
        <w:numPr>
          <w:ilvl w:val="0"/>
          <w:numId w:val="1002"/>
        </w:numPr>
        <w:pStyle w:val="Compact"/>
      </w:pPr>
      <w:r>
        <w:rPr>
          <w:bCs/>
          <w:b/>
        </w:rPr>
        <w:t xml:space="preserve">Phase 2 (Months 7-12):</w:t>
      </w:r>
      <w:r>
        <w:t xml:space="preserve"> </w:t>
      </w:r>
      <w:r>
        <w:t xml:space="preserve">Lobbying efforts with federal immigration authorities and partnership building with local housing agencies.</w:t>
      </w:r>
    </w:p>
    <w:p>
      <w:pPr>
        <w:numPr>
          <w:ilvl w:val="0"/>
          <w:numId w:val="1002"/>
        </w:numPr>
        <w:pStyle w:val="Compact"/>
      </w:pPr>
      <w:r>
        <w:rPr>
          <w:bCs/>
          <w:b/>
        </w:rPr>
        <w:t xml:space="preserve">Phase 3 (Year 2 onwards):</w:t>
      </w:r>
      <w:r>
        <w:t xml:space="preserve"> </w:t>
      </w:r>
      <w:r>
        <w:t xml:space="preserve">Full implementation of mentorship programs and continuous evaluation of recruitment metrics in the Toronto market.</w:t>
      </w:r>
    </w:p>
    <w:bookmarkEnd w:id="31"/>
    <w:bookmarkStart w:id="32" w:name="expected-outcomes"/>
    <w:p>
      <w:pPr>
        <w:pStyle w:val="Heading2"/>
      </w:pPr>
      <w:r>
        <w:t xml:space="preserve">6. Expected Outcomes</w:t>
      </w:r>
    </w:p>
    <w:p>
      <w:pPr>
        <w:pStyle w:val="FirstParagraph"/>
      </w:pPr>
      <w:r>
        <w:t xml:space="preserve">If successfully implemented, these strategies are expected to yield significant results. First, there should be a measurable increase in the number of high-impact publications resulting from recruited professorial talent. Second, the retention rate of faculty members should improve, reducing the costs associated with constant re-hiring and training. Finally, by positioning</w:t>
      </w:r>
      <w:r>
        <w:t xml:space="preserve"> </w:t>
      </w:r>
      <w:r>
        <w:rPr>
          <w:bCs/>
          <w:b/>
        </w:rPr>
        <w:t xml:space="preserve">Canada Toronto</w:t>
      </w:r>
      <w:r>
        <w:t xml:space="preserve"> </w:t>
      </w:r>
      <w:r>
        <w:t xml:space="preserve">universities as leaders in faculty support and well-being, we can elevate the region’s global academic reputation.</w:t>
      </w:r>
    </w:p>
    <w:bookmarkEnd w:id="32"/>
    <w:bookmarkStart w:id="33" w:name="conclusion"/>
    <w:p>
      <w:pPr>
        <w:pStyle w:val="Heading2"/>
      </w:pPr>
      <w:r>
        <w:t xml:space="preserve">7. Conclusion</w:t>
      </w:r>
    </w:p>
    <w:p>
      <w:pPr>
        <w:pStyle w:val="FirstParagraph"/>
      </w:pPr>
      <w:r>
        <w:t xml:space="preserve">In conclusion, this Project Report underscores that recruiting and retaining a qualified</w:t>
      </w:r>
      <w:r>
        <w:t xml:space="preserve"> </w:t>
      </w:r>
      <w:r>
        <w:rPr>
          <w:bCs/>
          <w:b/>
        </w:rPr>
        <w:t xml:space="preserve">Professor</w:t>
      </w:r>
      <w:r>
        <w:rPr>
          <w:iCs/>
          <w:i/>
        </w:rPr>
        <w:t xml:space="preserve">s</w:t>
      </w:r>
      <w:r>
        <w:t xml:space="preserve">-base is not merely an administrative task but a strategic imperative for universities in</w:t>
      </w:r>
      <w:r>
        <w:t xml:space="preserve"> </w:t>
      </w:r>
      <w:r>
        <w:rPr>
          <w:bCs/>
          <w:b/>
        </w:rPr>
        <w:t xml:space="preserve">Canada Toronto</w:t>
      </w:r>
      <w:r>
        <w:t xml:space="preserve">. The unique challenges of the local market require innovative solutions that go beyond competitive salaries. By focusing on holistic support, streamlined immigration, and community integration, institutions can create an environment where professors thrive. This approach will ensure that</w:t>
      </w:r>
      <w:r>
        <w:t xml:space="preserve"> </w:t>
      </w:r>
      <w:r>
        <w:rPr>
          <w:bCs/>
          <w:b/>
        </w:rPr>
        <w:t xml:space="preserve">Canada Toronto</w:t>
      </w:r>
      <w:r>
        <w:t xml:space="preserve"> </w:t>
      </w:r>
      <w:r>
        <w:t xml:space="preserve">remains at the forefront of global academia, fostering an environment where intellectual excellence can flourish.</w:t>
      </w:r>
    </w:p>
    <w:p>
      <w:pPr>
        <w:pStyle w:val="BodyText"/>
      </w:pPr>
      <w:r>
        <w:t xml:space="preserve">We urge the administration to approve the funding and resources necessary to execute these recommendations immediately. The future competitiveness of our institutions in Toronto depends on our ability to adapt and lead in this evolving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Professorial Talent in Canada Toronto</dc:title>
  <dc:creator/>
  <dc:language>en</dc:language>
  <cp:keywords/>
  <dcterms:created xsi:type="dcterms:W3CDTF">2026-07-29T22:19:40Z</dcterms:created>
  <dcterms:modified xsi:type="dcterms:W3CDTF">2026-07-29T22:19:40Z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