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Professor</w:t>
      </w:r>
      <w:r>
        <w:t xml:space="preserve"> </w:t>
      </w:r>
      <w:r>
        <w:t xml:space="preserve">Integration</w:t>
      </w:r>
      <w:r>
        <w:t xml:space="preserve"> </w:t>
      </w:r>
      <w:r>
        <w:t xml:space="preserve">and</w:t>
      </w:r>
      <w:r>
        <w:t xml:space="preserve"> </w:t>
      </w:r>
      <w:r>
        <w:t xml:space="preserve">Academic</w:t>
      </w:r>
      <w:r>
        <w:t xml:space="preserve"> </w:t>
      </w:r>
      <w:r>
        <w:t xml:space="preserve">Collaboration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p>
      <w:pPr>
        <w:pStyle w:val="FirstParagraph"/>
      </w:pPr>
      <w:r>
        <w:t xml:space="preserve">```html</w:t>
      </w:r>
    </w:p>
    <w:bookmarkStart w:id="29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26, 2005</w:t>
      </w:r>
      <w:r>
        <w:br/>
      </w:r>
      <w:r>
        <w:rPr>
          <w:bCs/>
          <w:b/>
        </w:rPr>
        <w:t xml:space="preserve">To:</w:t>
      </w:r>
      <w:r>
        <w:t xml:space="preserve"> University Administration Board</w:t>
      </w:r>
      <w:r>
        <w:br/>
      </w:r>
    </w:p>
    <w:p>
      <w:pPr>
        <w:pStyle w:val="BodyText"/>
      </w:pPr>
      <w:r>
        <w:t xml:space="preserve">The integration and development of the Professor position within the higher education sector of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 </w:t>
      </w:r>
      <w:r>
        <w:t xml:space="preserve">represents a critical pivot point for institutional excellence. This document serves as a comprehensive Project Report detailing the strategic implementation, cultural challenges, and academic outcomes associated with appointing high-ranking faculty members to key roles in this dynamic European capital.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primary objective of this initiative was to enhance the international visibility and research output of our institutions by recruiting distinguished Professors from abroad. The focus remained strictly on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, a city known for its historical significance, vibrant cultural scene, and robust academic infrastructure. This Project Report outlines the methodology used to identify candidates, the specific challenges faced during recruitment in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, and the subsequent impact of these Professor appointments on departmental growth.</w:t>
      </w:r>
    </w:p>
    <w:bookmarkEnd w:id="20"/>
    <w:bookmarkStart w:id="21" w:name="X3cff91f4044a07510ecf7ae65994b8e801d3d6f"/>
    <w:p>
      <w:pPr>
        <w:pStyle w:val="Heading2"/>
      </w:pPr>
      <w:r>
        <w:t xml:space="preserve">2. Background: The Academic Landscape in Germany Berlin</w:t>
      </w:r>
    </w:p>
    <w:p>
      <w:pPr>
        <w:pStyle w:val="FirstParagraph"/>
      </w:pPr>
      <w:hyperlink w:anchor="ftn1">
        <w:r>
          <w:rPr>
            <w:rStyle w:val="Hyperlink"/>
          </w:rPr>
          <w:t xml:space="preserve">Germany Berlin</w:t>
        </w:r>
      </w:hyperlink>
      <w:r>
        <w:t xml:space="preserve"> </w:t>
      </w:r>
      <w:r>
        <w:t xml:space="preserve">has established itself as a hub for scientific inquiry and technological innovation. The city hosts numerous prestigious universities, including the Freie Universität Berlin and Humboldt-Universität zu</w:t>
      </w:r>
      <w:r>
        <w:t xml:space="preserve"> </w:t>
      </w:r>
      <w:hyperlink w:anchor="ftn1">
        <w:r>
          <w:rPr>
            <w:rStyle w:val="Hyperlink"/>
          </w:rPr>
          <w:t xml:space="preserve">Berlin</w:t>
        </w:r>
      </w:hyperlink>
      <w:r>
        <w:t xml:space="preserve">. However, the competitive nature of academic appointments in this region requires a nuanced approach. The term 'Professor' in this context carries significant weight, denoting not just a teaching role but a leadership position responsible for securing external funding and guiding doctoral candidates.</w:t>
      </w:r>
    </w:p>
    <w:p>
      <w:pPr>
        <w:pStyle w:val="BodyText"/>
      </w:pPr>
      <w:r>
        <w:t xml:space="preserve">The Project Report highlights that while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 </w:t>
      </w:r>
      <w:r>
        <w:t xml:space="preserve">offers high-quality living standards, the bureaucracy associated with academic hiring can be daunting. Understanding the local labor laws and tenure-track systems specific to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 </w:t>
      </w:r>
      <w:r>
        <w:t xml:space="preserve">was essential for the success of this project.</w:t>
      </w:r>
    </w:p>
    <w:bookmarkEnd w:id="21"/>
    <w:bookmarkStart w:id="22" w:name="X6c56207d24b40f7ffa73b7107dc4baf199e0e91"/>
    <w:p>
      <w:pPr>
        <w:pStyle w:val="Heading2"/>
      </w:pPr>
      <w:r>
        <w:t xml:space="preserve">3. Recruitment Strategy for Professor Positions</w:t>
      </w:r>
    </w:p>
    <w:p>
      <w:pPr>
        <w:pStyle w:val="FirstParagraph"/>
      </w:pPr>
      <w:r>
        <w:t xml:space="preserve">To ensure high standards, we adopted a multi-phase recruitment strategy tailored to the academic community in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Global Sourcing:</w:t>
      </w:r>
      <w:r>
        <w:t xml:space="preserve"> We partnered with international academic networks to identify Professors with strong publication records.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Fit Assessment:</w:t>
      </w:r>
      <w:r>
        <w:t xml:space="preserve"> Recognizing the unique work culture in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, we prioritized candidates who demonstrated adaptability to local administrative procedures and pedagogical styles.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Visa and Relocation Support:</w:t>
      </w:r>
      <w:r>
        <w:t xml:space="preserve"> Given the international nature of our target Professors, we established a dedicated liaison team in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 </w:t>
      </w:r>
      <w:r>
        <w:t xml:space="preserve">to handle residence permits, housing searches, and school placements for families.</w:t>
      </w:r>
    </w:p>
    <w:p>
      <w:pPr>
        <w:pStyle w:val="FirstParagraph"/>
      </w:pPr>
      <w:r>
        <w:t xml:space="preserve">This structured approach ensured that each Professor appointed felt supported from day one in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, reducing turnover rates significantly compared to previous years.</w:t>
      </w:r>
    </w:p>
    <w:bookmarkEnd w:id="22"/>
    <w:bookmarkStart w:id="23" w:name="implementation-challenges"/>
    <w:p>
      <w:pPr>
        <w:pStyle w:val="Heading2"/>
      </w:pPr>
      <w:r>
        <w:t xml:space="preserve">4. Implementation Challenges</w:t>
      </w:r>
    </w:p>
    <w:p>
      <w:pPr>
        <w:pStyle w:val="FirstParagraph"/>
      </w:pPr>
      <w:r>
        <w:t xml:space="preserve">The Project Report identifies several hurdles encountered during the integration process. Firstly, language barriers posed a challenge for Professors accustomed to teaching solely in their native languages or English. While many academic programs in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 </w:t>
      </w:r>
      <w:r>
        <w:t xml:space="preserve">are offered in English, daily administrative interactions often require proficiency in German. To mitigate this, we introduced intensive language courses specifically designed for incoming academic staff.</w:t>
      </w:r>
    </w:p>
    <w:p>
      <w:pPr>
        <w:pStyle w:val="BodyText"/>
      </w:pPr>
      <w:r>
        <w:t xml:space="preserve">Secondly, the distinction between 'Professor' titles and ranks varies globally. Clarifying these equivalencies for Professors coming from non-European systems was crucial to ensure fair compensation and tenure expectations within the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 </w:t>
      </w:r>
      <w:r>
        <w:t xml:space="preserve">framework.</w:t>
      </w:r>
    </w:p>
    <w:bookmarkEnd w:id="23"/>
    <w:bookmarkStart w:id="24" w:name="outcomes-and-impact-assessment"/>
    <w:p>
      <w:pPr>
        <w:pStyle w:val="Heading2"/>
      </w:pPr>
      <w:r>
        <w:t xml:space="preserve">5. Outcomes and Impact Assessment</w:t>
      </w:r>
    </w:p>
    <w:p>
      <w:pPr>
        <w:pStyle w:val="FirstParagraph"/>
      </w:pPr>
      <w:r>
        <w:t xml:space="preserve">The results of this initiative have been overwhelmingly positive. Over the past two years, departments in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 </w:t>
      </w:r>
      <w:r>
        <w:t xml:space="preserve">hosting new Professors reported a 30% increase in grant applications and a notable rise in cross-institutional collaborations. The presence of diverse Professor viewpoints has enriched classroom dynamics and spurred innovative research topics focused on global issues.</w:t>
      </w:r>
    </w:p>
    <w:p>
      <w:pPr>
        <w:pStyle w:val="BodyText"/>
      </w:pPr>
      <w:r>
        <w:t xml:space="preserve">Moreover, the cultural exchange fostered by international Professors has enhanced the student experience in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. Students benefit from exposure to varied academic perspectives, preparing them for careers in an increasingly globalized workforce. This aligns perfectly with the strategic goals of positioning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 </w:t>
      </w:r>
      <w:r>
        <w:t xml:space="preserve">as a top-tier destination for higher education.</w:t>
      </w:r>
    </w:p>
    <w:bookmarkEnd w:id="24"/>
    <w:bookmarkStart w:id="25" w:name="X6f95f52e2dffc157af5ba069e6f07fe8e6ed361"/>
    <w:p>
      <w:pPr>
        <w:pStyle w:val="Heading2"/>
      </w:pPr>
      <w:r>
        <w:t xml:space="preserve">6. Financial Implications and Resource Allocation</w:t>
      </w:r>
    </w:p>
    <w:p>
      <w:pPr>
        <w:pStyle w:val="FirstParagraph"/>
      </w:pPr>
      <w:r>
        <w:t xml:space="preserve">Category</w:t>
      </w:r>
    </w:p>
    <w:p>
      <w:pPr>
        <w:pStyle w:val="BodyText"/>
      </w:pPr>
      <w:r>
        <w:t xml:space="preserve">Budget (EUR)</w:t>
      </w:r>
    </w:p>
    <w:p>
      <w:pPr>
        <w:pStyle w:val="BodyText"/>
      </w:pPr>
      <w:r>
        <w:t xml:space="preserve">Recruitment Costs in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</w:p>
    <w:p>
      <w:pPr>
        <w:pStyle w:val="BodyText"/>
      </w:pPr>
      <w:r>
        <w:t xml:space="preserve">$50,000</w:t>
      </w:r>
    </w:p>
    <w:p>
      <w:pPr>
        <w:pStyle w:val="BodyText"/>
      </w:pPr>
      <w:r>
        <w:t xml:space="preserve">Relocation Support for Professors</w:t>
      </w:r>
    </w:p>
    <w:p>
      <w:pPr>
        <w:pStyle w:val="BodyText"/>
      </w:pPr>
      <w:r>
        <w:t xml:space="preserve">$75,0</w:t>
      </w:r>
      <w:r>
        <w:rPr>
          <w:vertAlign w:val="superscript"/>
        </w:rPr>
        <w:t xml:space="preserve">€</w:t>
      </w:r>
      <w:r>
        <w:t xml:space="preserve">o</w:t>
      </w:r>
    </w:p>
    <w:p>
      <w:pPr>
        <w:pStyle w:val="BodyText"/>
      </w:pPr>
      <w:r>
        <w:t xml:space="preserve">Training and Integration Programs in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</w:p>
    <w:p>
      <w:pPr>
        <w:pStyle w:val="BodyText"/>
      </w:pPr>
      <w:r>
        <w:br/>
      </w:r>
      <w:r>
        <w:t xml:space="preserve">$25, 49738632.50</w:t>
      </w:r>
    </w:p>
    <w:p>
      <w:pPr>
        <w:pStyle w:val="BodyText"/>
      </w:pPr>
      <w:r>
        <w:t xml:space="preserve">Total Project Cost</w:t>
      </w:r>
    </w:p>
    <w:p>
      <w:pPr>
        <w:pStyle w:val="BodyText"/>
      </w:pPr>
      <w:r>
        <w:t xml:space="preserve">$150,497.86</w:t>
      </w:r>
    </w:p>
    <w:p>
      <w:pPr>
        <w:pStyle w:val="BodyText"/>
      </w:pPr>
      <w:r>
        <w:t xml:space="preserve">These investments have yielded substantial returns in terms of research output and institutional reputation within</w:t>
      </w:r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.</w:t>
      </w:r>
    </w:p>
    <w:bookmarkEnd w:id="25"/>
    <w:bookmarkStart w:id="26" w:name="recommendations-for-future-initiatives"/>
    <w:p>
      <w:pPr>
        <w:pStyle w:val="Heading2"/>
      </w:pPr>
      <w:r>
        <w:t xml:space="preserve">7. Recommendations for Future Initiatives</w:t>
      </w:r>
    </w:p>
    <w:p>
      <w:pPr>
        <w:pStyle w:val="FirstParagraph"/>
      </w:pPr>
      <w:r>
        <w:t xml:space="preserve">To sustain momentum, the Project Report recommends expanding networking events specifically aimed at connecting incoming Professors with local academic communities in</w:t>
      </w:r>
      <w:r>
        <w:t xml:space="preserve"> </w:t>
      </w:r>
      <w:hyperlink w:anchor="ftn1">
        <w:r>
          <w:rPr>
            <w:rStyle w:val="Hyperlink"/>
          </w:rPr>
          <w:t xml:space="preserve">Germany Berlin. Additionally, creating mentorship programs where established Professors guide newcomers will further smooth the transition process. Finally, ongoing evaluation of retention rates among Professors in</w:t>
        </w:r>
      </w:hyperlink>
      <w:r>
        <w:t xml:space="preserve"> </w:t>
      </w:r>
      <w:hyperlink w:anchor="ftn1">
        <w:r>
          <w:rPr>
            <w:rStyle w:val="Hyperlink"/>
          </w:rPr>
          <w:t xml:space="preserve">Germany Berlin</w:t>
        </w:r>
      </w:hyperlink>
      <w:r>
        <w:t xml:space="preserve"> </w:t>
      </w:r>
      <w:r>
        <w:t xml:space="preserve">should inform future policy adjustments.</w:t>
      </w:r>
    </w:p>
    <w:bookmarkEnd w:id="26"/>
    <w:bookmarkStart w:id="28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the strategic appointment of Professor faculty members in</w:t>
      </w:r>
      <w:r>
        <w:t xml:space="preserve"> </w:t>
      </w:r>
      <w:hyperlink w:anchor="ftn1">
        <w:r>
          <w:rPr>
            <w:rStyle w:val="Hyperlink"/>
          </w:rPr>
          <w:t xml:space="preserve">Germany Berlin has proven to be a highly effective method for elevating academic standards and fostering international collaboration. By addressing cultural and administrative challenges head-on, our institution has created an inviting environment for world-class scholars. The success of this Project Report's findings underscores the importance of tailored support systems when integrating Professors into the vibrant academic ecosystem of</w:t>
        </w:r>
      </w:hyperlink>
    </w:p>
    <w:p>
      <w:pPr>
        <w:pStyle w:val="BodyText"/>
      </w:pPr>
      <w:r>
        <w:t xml:space="preserve">Germany Berlin.</w:t>
      </w:r>
    </w:p>
    <w:p>
      <w:r>
        <w:pict>
          <v:rect style="width:0;height:1.5pt" o:hralign="center" o:hrstd="t" o:hr="t"/>
        </w:pict>
      </w:r>
    </w:p>
    <w:bookmarkStart w:id="27" w:name="ftn1"/>
    <w:p>
      <w:pPr>
        <w:pStyle w:val="Heading3"/>
      </w:pPr>
      <w:r>
        <w:t xml:space="preserve">Footnote 1:</w:t>
      </w:r>
    </w:p>
    <w:p>
      <w:pPr>
        <w:pStyle w:val="FirstParagraph"/>
      </w:pPr>
      <w:r>
        <w:t xml:space="preserve">*</w:t>
      </w:r>
      <w:hyperlink w:anchor="ftn2">
        <w:r>
          <w:rPr>
            <w:rStyle w:val="Hyperlink"/>
          </w:rPr>
          <w:t xml:space="preserve">Germany Berlin</w:t>
        </w:r>
      </w:hyperlink>
      <w:r>
        <w:t xml:space="preserve"> </w:t>
      </w:r>
      <w:r>
        <w:t xml:space="preserve">refers specifically to the metropolitan area and its surrounding academic institutions within the federal state of Berlin, Germany. It serves as a central reference point for all geographical discussions in this Project Report regarding Professor placements.</w:t>
      </w:r>
    </w:p>
    <w:p>
      <w:pPr>
        <w:pStyle w:val="BodyText"/>
      </w:pPr>
      <w:r>
        <w:t xml:space="preserve">© 2025 University Administration Office</w:t>
      </w:r>
    </w:p>
    <w:p>
      <w:pPr>
        <w:pStyle w:val="BodyText"/>
      </w:pPr>
      <w:r>
        <w:t xml:space="preserve">```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Professor Integration and Academic Collaboration in Germany Berlin</dc:title>
  <dc:creator/>
  <dc:language>en</dc:language>
  <cp:keywords/>
  <dcterms:created xsi:type="dcterms:W3CDTF">2026-07-29T05:30:28Z</dcterms:created>
  <dcterms:modified xsi:type="dcterms:W3CDTF">2026-07-29T05:30:28Z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