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Deployment</w:t>
      </w:r>
      <w:r>
        <w:t xml:space="preserve"> </w:t>
      </w:r>
      <w:r>
        <w:t xml:space="preserve">Strategy</w:t>
      </w:r>
      <w:r>
        <w:t xml:space="preserve"> </w:t>
      </w:r>
      <w:r>
        <w:t xml:space="preserve">in</w:t>
      </w:r>
      <w:r>
        <w:t xml:space="preserve"> </w:t>
      </w:r>
      <w:r>
        <w:t xml:space="preserve">Iran,</w:t>
      </w:r>
      <w:r>
        <w:t xml:space="preserve"> </w:t>
      </w:r>
      <w:r>
        <w:t xml:space="preserve">Tehran</w:t>
      </w:r>
    </w:p>
    <w:bookmarkStart w:id="32" w:name="Xbf2f1c2ee2be2d383a78f16f34187f5c0c176e2"/>
    <w:p>
      <w:pPr>
        <w:pStyle w:val="Heading1"/>
      </w:pPr>
      <w:r>
        <w:t xml:space="preserve">Project Report: Academic Professor Deployment and Strategic Collaboration in Iran, Tehran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Academic Development Committee</w:t>
      </w:r>
      <w:r>
        <w:br/>
      </w:r>
      <w:r>
        <w:rPr>
          <w:bCs/>
          <w:b/>
        </w:rPr>
        <w:t xml:space="preserve">From:</w:t>
      </w:r>
      <w:r>
        <w:t xml:space="preserve"> </w:t>
      </w:r>
      <w:r>
        <w:t xml:space="preserve">Project Management Office</w:t>
      </w:r>
      <w:r>
        <w:br/>
      </w:r>
      <w:r>
        <w:rPr>
          <w:bCs/>
          <w:b/>
        </w:rPr>
        <w:t xml:space="preserve">Subject:</w:t>
      </w:r>
      <w:r>
        <w:t xml:space="preserve"> </w:t>
      </w:r>
      <w:r>
        <w:t xml:space="preserve">Implementation of the Professor Exchange and Research Initiative in Iran, Tehran</w:t>
      </w:r>
    </w:p>
    <w:bookmarkStart w:id="20" w:name="executive-summary"/>
    <w:p>
      <w:pPr>
        <w:pStyle w:val="Heading2"/>
      </w:pPr>
      <w:r>
        <w:t xml:space="preserve">1. Executive Summary</w:t>
      </w:r>
    </w:p>
    <w:p>
      <w:pPr>
        <w:pStyle w:val="FirstParagraph"/>
      </w:pPr>
      <w:r>
        <w:t xml:space="preserve">This Project Report outlines the comprehensive strategy for establishing a robust academic partnership focused on the deployment of distinguished Professor-level faculty members within the city of Iran, Tehran. The primary objective of this initiative is to foster intellectual exchange, enhance research capabilities, and strengthen diplomatic ties through educational collaboration. By focusing specifically on Tehran as a regional hub for higher learning in Iran, we aim to leverage its dense concentration of universities and research institutes. This document details the operational framework, cultural considerations, logistical requirements necessary for successfully integrating Professor participants into the academic ecosystem of Iran, Tehran.</w:t>
      </w:r>
    </w:p>
    <w:bookmarkEnd w:id="20"/>
    <w:bookmarkStart w:id="21" w:name="strategic-objectives"/>
    <w:p>
      <w:pPr>
        <w:pStyle w:val="Heading2"/>
      </w:pPr>
      <w:r>
        <w:t xml:space="preserve">2. Strategic Objectives</w:t>
      </w:r>
    </w:p>
    <w:p>
      <w:pPr>
        <w:pStyle w:val="FirstParagraph"/>
      </w:pPr>
      <w:r>
        <w:t xml:space="preserve">The deployment of visiting Professor faculty to Iran, Tehran is driven by three core strategic pillars:</w:t>
      </w:r>
    </w:p>
    <w:p>
      <w:pPr>
        <w:numPr>
          <w:ilvl w:val="0"/>
          <w:numId w:val="1001"/>
        </w:numPr>
        <w:pStyle w:val="Compact"/>
      </w:pPr>
      <w:r>
        <w:rPr>
          <w:bCs/>
          <w:b/>
        </w:rPr>
        <w:t xml:space="preserve">Research Collaboration:</w:t>
      </w:r>
      <w:r>
        <w:t xml:space="preserve"> </w:t>
      </w:r>
      <w:r>
        <w:t xml:space="preserve">To facilitate joint research projects between international institutions and prominent universities located in Tehran, such as the University of Tehran and Sharif University of Technology.</w:t>
      </w:r>
    </w:p>
    <w:p>
      <w:pPr>
        <w:numPr>
          <w:ilvl w:val="0"/>
          <w:numId w:val="1001"/>
        </w:numPr>
        <w:pStyle w:val="Compact"/>
      </w:pPr>
      <w:r>
        <w:rPr>
          <w:bCs/>
          <w:b/>
        </w:rPr>
        <w:t xml:space="preserve">Cultural Exchange:</w:t>
      </w:r>
    </w:p>
    <w:p>
      <w:pPr>
        <w:numPr>
          <w:ilvl w:val="0"/>
          <w:numId w:val="1001"/>
        </w:numPr>
        <w:pStyle w:val="Compact"/>
      </w:pPr>
      <w:r>
        <w:rPr>
          <w:bCs/>
          <w:b/>
        </w:rPr>
        <w:t xml:space="preserve">Educational Capacity Building:</w:t>
      </w:r>
      <w:r>
        <w:t xml:space="preserve"> </w:t>
      </w:r>
      <w:r>
        <w:t xml:space="preserve">To assist local academic institutions in Tehran with curriculum development, pedagogical training, and advanced laboratory management techniques under the guidance of experienced Professor mentors.</w:t>
      </w:r>
    </w:p>
    <w:bookmarkEnd w:id="21"/>
    <w:bookmarkStart w:id="22" w:name="X6a7b3384c6e89b01b02e61bea60f2abf894f0bd"/>
    <w:p>
      <w:pPr>
        <w:pStyle w:val="Heading2"/>
      </w:pPr>
      <w:r>
        <w:t xml:space="preserve">3. Target Demographic and Selection Criteria</w:t>
      </w:r>
    </w:p>
    <w:p>
      <w:pPr>
        <w:pStyle w:val="FirstParagraph"/>
      </w:pPr>
      <w:r>
        <w:t xml:space="preserve">The success of this project hinges on the selection of high-caliber candidates. The term "Professor" in this context refers to senior academic staff with at least ten years of experience in higher education. Candidates must possess a Ph.D. or equivalent terminal degree and a proven track record of published research.</w:t>
      </w:r>
    </w:p>
    <w:p>
      <w:pPr>
        <w:pStyle w:val="BodyText"/>
      </w:pPr>
      <w:r>
        <w:t xml:space="preserve">When selecting individuals for deployment to Iran, Tehran, specific criteria are applied:</w:t>
      </w:r>
    </w:p>
    <w:p>
      <w:pPr>
        <w:numPr>
          <w:ilvl w:val="0"/>
          <w:numId w:val="1002"/>
        </w:numPr>
        <w:pStyle w:val="Compact"/>
      </w:pPr>
      <w:r>
        <w:rPr>
          <w:bCs/>
          <w:b/>
        </w:rPr>
        <w:t xml:space="preserve">Sensitivity Awareness:</w:t>
      </w:r>
      <w:r>
        <w:t xml:space="preserve"> </w:t>
      </w:r>
      <w:r>
        <w:t xml:space="preserve">Candidates must demonstrate an understanding of the geopolitical context and cultural nuances specific to Iran.</w:t>
      </w:r>
    </w:p>
    <w:p>
      <w:pPr>
        <w:numPr>
          <w:ilvl w:val="0"/>
          <w:numId w:val="1002"/>
        </w:numPr>
        <w:pStyle w:val="Compact"/>
      </w:pPr>
      <w:r>
        <w:rPr>
          <w:bCs/>
          <w:b/>
        </w:rPr>
        <w:t xml:space="preserve">Linguistic Proficiency:</w:t>
      </w:r>
      <w:r>
        <w:t xml:space="preserve"> </w:t>
      </w:r>
      <w:r>
        <w:t xml:space="preserve">While English is widely used in academic circles in Tehran, familiarity with Persian (Farsi) or willingness to learn basic phrases is highly encouraged to facilitate deeper integration into the local community.</w:t>
      </w:r>
    </w:p>
    <w:p>
      <w:pPr>
        <w:numPr>
          <w:ilvl w:val="0"/>
          <w:numId w:val="1002"/>
        </w:numPr>
        <w:pStyle w:val="Compact"/>
      </w:pPr>
      <w:r>
        <w:rPr>
          <w:bCs/>
          <w:b/>
        </w:rPr>
        <w:t xml:space="preserve">Adaptability:</w:t>
      </w:r>
      <w:r>
        <w:t xml:space="preserve"> </w:t>
      </w:r>
      <w:r>
        <w:t xml:space="preserve">The environment in Tehran differs significantly from Western academic centers. Candidates must be adaptable to varying administrative procedures and social norms.</w:t>
      </w:r>
    </w:p>
    <w:bookmarkEnd w:id="22"/>
    <w:bookmarkStart w:id="26" w:name="logistical-framework-for-iran-tehran"/>
    <w:p>
      <w:pPr>
        <w:pStyle w:val="Heading2"/>
      </w:pPr>
      <w:r>
        <w:t xml:space="preserve">4. Logistical Framework for Iran, Tehran</w:t>
      </w:r>
    </w:p>
    <w:bookmarkStart w:id="23" w:name="visa-and-legal-compliance"/>
    <w:p>
      <w:pPr>
        <w:pStyle w:val="Heading3"/>
      </w:pPr>
      <w:r>
        <w:t xml:space="preserve">4.1 Visa and Legal Compliance</w:t>
      </w:r>
    </w:p>
    <w:p>
      <w:pPr>
        <w:pStyle w:val="FirstParagraph"/>
      </w:pPr>
      <w:r>
        <w:t xml:space="preserve">Navigating the visa requirements for entry into Iran is a critical first step. The project management team will coordinate with Iranian consulates to ensure that all Professor participants obtain the appropriate academic visa (Type 4). It is imperative that documentation clearly states the purpose of visit as academic exchange in Tehran to expedite processing times.</w:t>
      </w:r>
    </w:p>
    <w:bookmarkEnd w:id="23"/>
    <w:bookmarkStart w:id="24" w:name="accommodation-and-housing"/>
    <w:p>
      <w:pPr>
        <w:pStyle w:val="Heading3"/>
      </w:pPr>
      <w:r>
        <w:t xml:space="preserve">4.2 Accommodation and Housing</w:t>
      </w:r>
    </w:p>
    <w:p>
      <w:pPr>
        <w:pStyle w:val="FirstParagraph"/>
      </w:pPr>
      <w:r>
        <w:t xml:space="preserve">Tehran offers a wide range of housing options. For security and convenience, accommodation will be secured primarily in central districts such as Vanak, Elahieh, or near the university campuses in the north of Tehran. These areas are known for their accessibility to major academic institutions and provide a secure environment for international guests.</w:t>
      </w:r>
    </w:p>
    <w:bookmarkEnd w:id="24"/>
    <w:bookmarkStart w:id="25" w:name="health-and-safety"/>
    <w:p>
      <w:pPr>
        <w:pStyle w:val="Heading3"/>
      </w:pPr>
      <w:r>
        <w:t xml:space="preserve">4.3 Health and Safety</w:t>
      </w:r>
    </w:p>
    <w:p>
      <w:pPr>
        <w:pStyle w:val="FirstParagraph"/>
      </w:pPr>
      <w:r>
        <w:t xml:space="preserve">Safety protocols in Iran are strictly observed. However, participants must be briefed on local laws regarding dress code (Hijab) and public behavior, which are particularly relevant in Tehran. Comprehensive health insurance covering the duration of the stay is mandatory for all Professor delegates.</w:t>
      </w:r>
    </w:p>
    <w:bookmarkEnd w:id="25"/>
    <w:bookmarkEnd w:id="26"/>
    <w:bookmarkStart w:id="27" w:name="X5b256aeeaeb476c1d72420d163a117b191ce2e3"/>
    <w:p>
      <w:pPr>
        <w:pStyle w:val="Heading2"/>
      </w:pPr>
      <w:r>
        <w:t xml:space="preserve">5. Cultural Integration and Social Engagement</w:t>
      </w:r>
    </w:p>
    <w:p>
      <w:pPr>
        <w:pStyle w:val="FirstParagraph"/>
      </w:pPr>
      <w:r>
        <w:t xml:space="preserve">A significant portion of this project involves cultural immersion. Tehran is a vibrant metropolis that blends ancient Persian history with modern urban life. The schedule for the Professor deployment will include curated activities that introduce participants to the art, literature, and culinary traditions of Iran.</w:t>
      </w:r>
    </w:p>
    <w:p>
      <w:pPr>
        <w:pStyle w:val="BodyText"/>
      </w:pPr>
      <w:r>
        <w:t xml:space="preserve">We recommend organizing site visits to historical landmarks such as Golestan Palace and Saadi Park. Furthermore, hosting dinner gatherings with local Iranian academics in Tehran allows for informal networking and relationship building. Understanding the concept of "Taarof" (Persian etiquette) is essential for Professor delegates to navigate social interactions respectfully and effectively within the Iranian academic community.</w:t>
      </w:r>
    </w:p>
    <w:bookmarkEnd w:id="27"/>
    <w:bookmarkStart w:id="28" w:name="academic-schedule-in-tehran"/>
    <w:p>
      <w:pPr>
        <w:pStyle w:val="Heading2"/>
      </w:pPr>
      <w:r>
        <w:t xml:space="preserve">6. Academic Schedule in Tehran</w:t>
      </w:r>
    </w:p>
    <w:p>
      <w:pPr>
        <w:pStyle w:val="FirstParagraph"/>
      </w:pPr>
      <w:r>
        <w:t xml:space="preserve">The academic calendar in Iran follows a unique structure, often beginning in September or October. The schedule for visiting Professor faculty will be aligned with the semesters of partner universities in Tehran to ensure maximum engagement.</w:t>
      </w:r>
    </w:p>
    <w:p>
      <w:pPr>
        <w:numPr>
          <w:ilvl w:val="0"/>
          <w:numId w:val="1003"/>
        </w:numPr>
        <w:pStyle w:val="Compact"/>
      </w:pPr>
      <w:r>
        <w:rPr>
          <w:bCs/>
          <w:b/>
        </w:rPr>
        <w:t xml:space="preserve">Lectures and Workshops:</w:t>
      </w:r>
      <w:r>
        <w:t xml:space="preserve"> </w:t>
      </w:r>
      <w:r>
        <w:t xml:space="preserve">Each Professor is expected to deliver at least four guest lectures and conduct one intensive workshop per semester.</w:t>
      </w:r>
    </w:p>
    <w:p>
      <w:pPr>
        <w:numPr>
          <w:ilvl w:val="0"/>
          <w:numId w:val="1003"/>
        </w:numPr>
        <w:pStyle w:val="Compact"/>
      </w:pPr>
      <w:r>
        <w:rPr>
          <w:bCs/>
          <w:b/>
        </w:rPr>
        <w:t xml:space="preserve">Mentorship:</w:t>
      </w:r>
      <w:r>
        <w:t xml:space="preserve"> </w:t>
      </w:r>
      <w:r>
        <w:t xml:space="preserve">Junior faculty members in Tehran will be paired with visiting Professors for mentorship, focusing on grant writing and international publishing strategies.</w:t>
      </w:r>
    </w:p>
    <w:p>
      <w:pPr>
        <w:numPr>
          <w:ilvl w:val="0"/>
          <w:numId w:val="1003"/>
        </w:numPr>
        <w:pStyle w:val="Compact"/>
      </w:pPr>
      <w:r>
        <w:rPr>
          <w:bCs/>
          <w:b/>
        </w:rPr>
        <w:t xml:space="preserve">Seminar Series:</w:t>
      </w:r>
      <w:r>
        <w:t xml:space="preserve"> </w:t>
      </w:r>
      <w:r>
        <w:t xml:space="preserve">A monthly seminar series will be established in Tehran, bringing together researchers from various disciplines to discuss global challenges.</w:t>
      </w:r>
    </w:p>
    <w:bookmarkEnd w:id="28"/>
    <w:bookmarkStart w:id="29" w:name="risk-management"/>
    <w:p>
      <w:pPr>
        <w:pStyle w:val="Heading2"/>
      </w:pPr>
      <w:r>
        <w:t xml:space="preserve">7. Risk Management</w:t>
      </w:r>
    </w:p>
    <w:p>
      <w:pPr>
        <w:pStyle w:val="FirstParagraph"/>
      </w:pPr>
      <w:r>
        <w:t xml:space="preserve">Risks associated with the deployment of Professor staff to Iran, Tehran include political fluctuations and potential travel restrictions. To mitigate these risks, the project will maintain regular communication with home institutions and local partners in Tehran. A contingency fund will be established to handle unexpected logistical disruptions.</w:t>
      </w:r>
    </w:p>
    <w:p>
      <w:pPr>
        <w:pStyle w:val="BodyText"/>
      </w:pPr>
      <w:r>
        <w:t xml:space="preserve">Additionally, digital security is a priority given the internet landscape in Iran. Professor participants will receive training on secure communication practices to protect their research data and personal information while operating within the network infrastructure of Tehran.</w:t>
      </w:r>
    </w:p>
    <w:bookmarkEnd w:id="29"/>
    <w:bookmarkStart w:id="30" w:name="conclusion"/>
    <w:p>
      <w:pPr>
        <w:pStyle w:val="Heading2"/>
      </w:pPr>
      <w:r>
        <w:t xml:space="preserve">8. Conclusion</w:t>
      </w:r>
    </w:p>
    <w:p>
      <w:pPr>
        <w:pStyle w:val="FirstParagraph"/>
      </w:pPr>
      <w:r>
        <w:t xml:space="preserve">The deployment of Professor faculty to Iran, Tehran represents a significant opportunity for academic diplomacy and scientific advancement. By carefully managing the logistical, cultural, and legal aspects of this project, we can create a sustainable platform for collaboration. The focus on Tehran as the central node ensures that benefits reach a broad spectrum of Iranian academia.</w:t>
      </w:r>
    </w:p>
    <w:p>
      <w:pPr>
        <w:pStyle w:val="BodyText"/>
      </w:pPr>
      <w:r>
        <w:t xml:space="preserve">We anticipate that this initiative will not only enhance the research profiles of participating Professors but also contribute meaningfully to the educational development in Iran. Success depends on mutual respect, clear communication, and a commitment to fostering long-term partnerships between our institution and those in Tehran. We recommend immediate approval of the budget allocation for Phase One, which focuses on preliminary visits by senior administrative leads to establish contacts with university rectors in Tehran.</w:t>
      </w:r>
    </w:p>
    <w:bookmarkEnd w:id="30"/>
    <w:bookmarkStart w:id="31" w:name="recommendations"/>
    <w:p>
      <w:pPr>
        <w:pStyle w:val="Heading2"/>
      </w:pPr>
      <w:r>
        <w:t xml:space="preserve">9. Recommendations</w:t>
      </w:r>
    </w:p>
    <w:p>
      <w:pPr>
        <w:numPr>
          <w:ilvl w:val="0"/>
          <w:numId w:val="1004"/>
        </w:numPr>
        <w:pStyle w:val="Compact"/>
      </w:pPr>
      <w:r>
        <w:t xml:space="preserve">Establish a dedicated liaison office in Tehran to support incoming Professor delegates.</w:t>
      </w:r>
    </w:p>
    <w:p>
      <w:pPr>
        <w:numPr>
          <w:ilvl w:val="0"/>
          <w:numId w:val="1004"/>
        </w:numPr>
        <w:pStyle w:val="Compact"/>
      </w:pPr>
      <w:r>
        <w:t xml:space="preserve">Create a digital knowledge base containing guides on living and working in Iran, specifically tailored for academic professionals.</w:t>
      </w:r>
    </w:p>
    <w:p>
      <w:pPr>
        <w:numPr>
          <w:ilvl w:val="0"/>
          <w:numId w:val="1004"/>
        </w:numPr>
        <w:pStyle w:val="Compact"/>
      </w:pPr>
      <w:r>
        <w:t xml:space="preserve">Schedule quarterly review meetings between project stakeholders and local partners in Tehran to assess progress and address challenges promptly.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Deployment Strategy in Iran, Tehran</dc:title>
  <dc:creator/>
  <dc:language>en</dc:language>
  <cp:keywords/>
  <dcterms:created xsi:type="dcterms:W3CDTF">2026-07-29T05:49:32Z</dcterms:created>
  <dcterms:modified xsi:type="dcterms:W3CDTF">2026-07-29T05:49:32Z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