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Placement</w:t>
      </w:r>
      <w:r>
        <w:t xml:space="preserve"> </w:t>
      </w:r>
      <w:r>
        <w:t xml:space="preserve">and</w:t>
      </w:r>
      <w:r>
        <w:t xml:space="preserve"> </w:t>
      </w:r>
      <w:r>
        <w:t xml:space="preserve">Academic</w:t>
      </w:r>
      <w:r>
        <w:t xml:space="preserve"> </w:t>
      </w:r>
      <w:r>
        <w:t xml:space="preserve">Development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Board of Directors and Academic Stakeholders</w:t>
      </w:r>
    </w:p>
    <w:p>
      <w:pPr>
        <w:pStyle w:val="BodyText"/>
      </w:pPr>
      <w:r>
        <w:rPr>
          <w:bCs/>
          <w:b/>
        </w:rPr>
        <w:t xml:space="preserve">From:</w:t>
      </w:r>
      <w:r>
        <w:t xml:space="preserve">District Administration Office</w:t>
      </w:r>
    </w:p>
    <w:p>
      <w:pPr>
        <w:pStyle w:val="BodyText"/>
      </w:pPr>
      <w:r>
        <w:t xml:space="preserve">Mission and Implementation Strategy for a Distinguished Professor in Turkey, Ankara</w:t>
      </w:r>
    </w:p>
    <w:p>
      <w:pPr>
        <w:pStyle w:val="BodyText"/>
      </w:pPr>
      <w:r>
        <w:t xml:space="preserve">&gt;</w:t>
      </w:r>
    </w:p>
    <w:bookmarkEnd w:id="20"/>
    <w:bookmarkStart w:id="21" w:name="executive-summary"/>
    <w:p>
      <w:pPr>
        <w:pStyle w:val="Heading2"/>
      </w:pPr>
      <w:r>
        <w:t xml:space="preserve">1.0 Executive Summary</w:t>
      </w:r>
    </w:p>
    <w:p>
      <w:pPr>
        <w:pStyle w:val="FirstParagraph"/>
      </w:pPr>
      <w:r>
        <w:t xml:space="preserve">This Project Report outlines the strategic initiative to deploy a senior academic figure, specifically designated as a Professor, within the vibrant educational landscape of Turkey, Ankara. The primary objective is to foster cross-cultural academic collaboration, enhance research infrastructure in Ankara's higher education institutions, and strengthen diplomatic ties through educational exchange. As Turkey stands as a bridge between East and West, the appointment of this Professor serves not only an institutional purpose but also a geopolitical one. This document details the rationale, logistical framework, expected outcomes, and risk mitigation strategies associated with placing a highly qualified Professor in the capital city.</w:t>
      </w:r>
    </w:p>
    <w:bookmarkEnd w:id="21"/>
    <w:bookmarkStart w:id="22" w:name="introduction-and-context"/>
    <w:p>
      <w:pPr>
        <w:pStyle w:val="Heading2"/>
      </w:pPr>
      <w:r>
        <w:t xml:space="preserve">2.0 Introduction and Context</w:t>
      </w:r>
    </w:p>
    <w:p>
      <w:pPr>
        <w:pStyle w:val="FirstParagraph"/>
      </w:pPr>
      <w:r>
        <w:t xml:space="preserve">Ankara, as the political and administrative heart of Turkey, hosts several prestigious universities that are increasingly looking toward international partnerships. The decision to focus this project on Ankara is deliberate; it provides access to government institutions, research funding bodies, and a dense network of academic peers. The role of the Professor in this context transcends traditional teaching duties. This individual will serve as an ambassador of knowledge, facilitating joint research projects, supervising doctoral candidates in collaboration with local faculty, and introducing international methodologies to students in Turkey.</w:t>
      </w:r>
    </w:p>
    <w:p>
      <w:pPr>
        <w:pStyle w:val="BodyText"/>
      </w:pPr>
      <w:r>
        <w:t xml:space="preserve">The Project Report emphasizes that success depends on seamless integration into the Ankara academic community. The cultural nuances of Turkey must be respected and leveraged to ensure that the Professor’s contributions are welcomed and effective. Therefore, this report serves as a comprehensive guide for stakeholders involved in the selection, relocation, and professional development of the appointee.</w:t>
      </w:r>
    </w:p>
    <w:bookmarkEnd w:id="22"/>
    <w:bookmarkStart w:id="23" w:name="strategic-objectives"/>
    <w:p>
      <w:pPr>
        <w:pStyle w:val="Heading2"/>
      </w:pPr>
      <w:r>
        <w:t xml:space="preserve">3.0 Strategic Objectives</w:t>
      </w:r>
    </w:p>
    <w:p>
      <w:pPr>
        <w:pStyle w:val="FirstParagraph"/>
      </w:pPr>
      <w:r>
        <w:t xml:space="preserve">The deployment of the Professor to Turkey involves several key strategic goals:</w:t>
      </w:r>
    </w:p>
    <w:p>
      <w:pPr>
        <w:numPr>
          <w:ilvl w:val="0"/>
          <w:numId w:val="1001"/>
        </w:numPr>
        <w:pStyle w:val="Compact"/>
      </w:pPr>
      <w:r>
        <w:rPr>
          <w:bCs/>
          <w:b/>
        </w:rPr>
        <w:t xml:space="preserve">Academic Excellence:</w:t>
      </w:r>
      <w:r>
        <w:t xml:space="preserve">To elevate research output in specific disciplines by leveraging the Professor’s expertise. This includes co-authoring papers, securing joint grants, and initiating seminars that benefit students across multiple departments.</w:t>
      </w:r>
    </w:p>
    <w:p>
      <w:pPr>
        <w:numPr>
          <w:ilvl w:val="0"/>
          <w:numId w:val="1001"/>
        </w:numPr>
        <w:pStyle w:val="Compact"/>
      </w:pPr>
      <w:r>
        <w:rPr>
          <w:bCs/>
          <w:b/>
        </w:rPr>
        <w:t xml:space="preserve">Institutional Strengthening:</w:t>
      </w:r>
      <w:r>
        <w:t xml:space="preserve">To assist partner universities in Ankara with curriculum development and accreditation processes, ensuring alignment with international standards.</w:t>
      </w:r>
    </w:p>
    <w:p>
      <w:pPr>
        <w:numPr>
          <w:ilvl w:val="0"/>
          <w:numId w:val="1001"/>
        </w:numPr>
        <w:pStyle w:val="Compact"/>
      </w:pPr>
      <w:r>
        <w:rPr>
          <w:bCs/>
          <w:b/>
        </w:rPr>
        <w:t xml:space="preserve">Cultural Diplomacy:</w:t>
      </w:r>
      <w:r>
        <w:t xml:space="preserve">To act as a cultural bridge. The Professor will participate in public lectures and community outreach programs that highlight the shared values between our institution and the people of Turkey.</w:t>
      </w:r>
    </w:p>
    <w:p>
      <w:pPr>
        <w:numPr>
          <w:ilvl w:val="0"/>
          <w:numId w:val="1001"/>
        </w:numPr>
        <w:pStyle w:val="Compact"/>
      </w:pPr>
      <w:r>
        <w:rPr>
          <w:bCs/>
          <w:b/>
        </w:rPr>
        <w:t xml:space="preserve">Student Mobility:</w:t>
      </w:r>
      <w:r>
        <w:t xml:space="preserve">To facilitate exchange programs for Ankara-based students, allowing them to experience international academic environments while encouraging Turkish scholars to visit our home campus.</w:t>
      </w:r>
    </w:p>
    <w:bookmarkEnd w:id="23"/>
    <w:bookmarkStart w:id="24" w:name="selection-criteria-for-the-professor"/>
    <w:p>
      <w:pPr>
        <w:pStyle w:val="Heading2"/>
      </w:pPr>
      <w:r>
        <w:t xml:space="preserve">4.0 Selection Criteria for the Professor</w:t>
      </w:r>
    </w:p>
    <w:p>
      <w:pPr>
        <w:pStyle w:val="FirstParagraph"/>
      </w:pPr>
      <w:r>
        <w:t xml:space="preserve">The selection process for the individual assuming this role is rigorous. It is not merely about academic pedigree but also about adaptability and cultural intelligence. The ideal candidate must possess:</w:t>
      </w:r>
    </w:p>
    <w:p>
      <w:pPr>
        <w:numPr>
          <w:ilvl w:val="0"/>
          <w:numId w:val="1002"/>
        </w:numPr>
        <w:pStyle w:val="Compact"/>
      </w:pPr>
      <w:r>
        <w:rPr>
          <w:bCs/>
          <w:b/>
        </w:rPr>
        <w:t xml:space="preserve">Academic Credentials:</w:t>
      </w:r>
      <w:r>
        <w:t xml:space="preserve">A tenured position or equivalent experience in their field, with a proven track record of publications and grant acquisition.</w:t>
      </w:r>
    </w:p>
    <w:p>
      <w:pPr>
        <w:numPr>
          <w:ilvl w:val="0"/>
          <w:numId w:val="1002"/>
        </w:numPr>
        <w:pStyle w:val="Compact"/>
      </w:pPr>
      <w:r>
        <w:rPr>
          <w:bCs/>
          <w:b/>
        </w:rPr>
        <w:t xml:space="preserve">Linguistic Awareness:</w:t>
      </w:r>
      <w:r>
        <w:t xml:space="preserve">While English is the language of international academia, a willingness to learn basic Turkish phrases is essential for building rapport with local colleagues and students in Ankara.</w:t>
      </w:r>
    </w:p>
    <w:p>
      <w:pPr>
        <w:numPr>
          <w:ilvl w:val="0"/>
          <w:numId w:val="1002"/>
        </w:numPr>
        <w:pStyle w:val="Compact"/>
      </w:pPr>
      <w:r>
        <w:rPr>
          <w:bCs/>
          <w:b/>
        </w:rPr>
        <w:t xml:space="preserve">Cultural Sensitivity:</w:t>
      </w:r>
      <w:r>
        <w:t xml:space="preserve">A demonstrated history of working in diverse environments. The candidate must understand the Islamic traditions prevalent in Turkey while maintaining professional secular academic standards.</w:t>
      </w:r>
    </w:p>
    <w:p>
      <w:pPr>
        <w:numPr>
          <w:ilvl w:val="0"/>
          <w:numId w:val="1002"/>
        </w:numPr>
        <w:pStyle w:val="Compact"/>
      </w:pPr>
      <w:r>
        <w:rPr>
          <w:bCs/>
          <w:b/>
        </w:rPr>
        <w:t xml:space="preserve">Administrative Experience:</w:t>
      </w:r>
      <w:r>
        <w:t xml:space="preserve">The ability to navigate bureaucratic structures, both within our home institution and with Turkish authorities, is crucial for smooth operations.</w:t>
      </w:r>
    </w:p>
    <w:bookmarkEnd w:id="24"/>
    <w:bookmarkStart w:id="27" w:name="logistical-and-operational-framework"/>
    <w:p>
      <w:pPr>
        <w:pStyle w:val="Heading2"/>
      </w:pPr>
      <w:r>
        <w:t xml:space="preserve">5.0 Logistical and Operational Framework</w:t>
      </w:r>
    </w:p>
    <w:p>
      <w:pPr>
        <w:pStyle w:val="FirstParagraph"/>
      </w:pPr>
      <w:r>
        <w:t xml:space="preserve">The implementation phase of this Project Report requires careful logistical planning. Ankara offers a modern infrastructure, but specific preparations are necessary.</w:t>
      </w:r>
    </w:p>
    <w:bookmarkStart w:id="25" w:name="housing-and-relocation"/>
    <w:p>
      <w:pPr>
        <w:pStyle w:val="Heading3"/>
      </w:pPr>
      <w:r>
        <w:rPr>
          <w:bCs/>
          <w:b/>
        </w:rPr>
        <w:t xml:space="preserve">Housing and Relocation:</w:t>
      </w:r>
    </w:p>
    <w:p>
      <w:pPr>
        <w:pStyle w:val="FirstParagraph"/>
      </w:pPr>
      <w:r>
        <w:t xml:space="preserve">Ankara is a city with distinct seasonal variations. The Professor will be provided with housing in central districts such as Çankaya or Kavaklıdere, which are known for their academic proximity and safety. Relocation services will include assistance with visa applications (specifically the work permit required for non-citizens working in Turkey), health insurance enrollment through Turkish public and private systems, and orientation to local amenities.</w:t>
      </w:r>
    </w:p>
    <w:bookmarkEnd w:id="25"/>
    <w:bookmarkStart w:id="26" w:name="office-infrastructure"/>
    <w:p>
      <w:pPr>
        <w:pStyle w:val="Heading3"/>
      </w:pPr>
      <w:r>
        <w:rPr>
          <w:bCs/>
          <w:b/>
        </w:rPr>
        <w:t xml:space="preserve">Office Infrastructure:</w:t>
      </w:r>
    </w:p>
    <w:p>
      <w:pPr>
        <w:pStyle w:val="FirstParagraph"/>
      </w:pPr>
      <w:r>
        <w:t xml:space="preserve">A fully equipped office will be secured at the partner university. This space must include access to digital libraries and research databases that may have restricted access outside of Turkey. High-speed internet connectivity is guaranteed, though backup solutions will be prepared for occasional outages.</w:t>
      </w:r>
    </w:p>
    <w:bookmarkEnd w:id="26"/>
    <w:bookmarkEnd w:id="27"/>
    <w:bookmarkStart w:id="28" w:name="risk-assessment-and-mitigation"/>
    <w:p>
      <w:pPr>
        <w:pStyle w:val="Heading2"/>
      </w:pPr>
      <w:r>
        <w:t xml:space="preserve">6.0 Risk Assessment and Mitigation</w:t>
      </w:r>
    </w:p>
    <w:p>
      <w:pPr>
        <w:pStyle w:val="FirstParagraph"/>
      </w:pPr>
      <w:r>
        <w:t xml:space="preserve">In any international project, risks must be anticipated. This Project Report identifies the following potential challenges:</w:t>
      </w:r>
    </w:p>
    <w:p>
      <w:pPr>
        <w:numPr>
          <w:ilvl w:val="0"/>
          <w:numId w:val="1003"/>
        </w:numPr>
        <w:pStyle w:val="Compact"/>
      </w:pPr>
      <w:r>
        <w:rPr>
          <w:bCs/>
          <w:b/>
        </w:rPr>
        <w:t xml:space="preserve">Bureaucratic Delays:</w:t>
      </w:r>
      <w:r>
        <w:t xml:space="preserve">Paperwork for work visas and residence permits in Turkey can sometimes be lengthy. Mitigation involves initiating applications six months prior to the intended start date.</w:t>
      </w:r>
    </w:p>
    <w:p>
      <w:pPr>
        <w:numPr>
          <w:ilvl w:val="0"/>
          <w:numId w:val="1003"/>
        </w:numPr>
        <w:pStyle w:val="Compact"/>
      </w:pPr>
      <w:r>
        <w:rPr>
          <w:bCs/>
          <w:b/>
        </w:rPr>
        <w:t xml:space="preserve">Cultural Misunderstandings:</w:t>
      </w:r>
      <w:r>
        <w:t xml:space="preserve">Differences in communication styles and academic hierarchies may lead to friction. Regular cultural training sessions will be provided before departure, and mentorship from local Ankara-based staff will be assigned upon arrival.</w:t>
      </w:r>
    </w:p>
    <w:p>
      <w:pPr>
        <w:numPr>
          <w:ilvl w:val="0"/>
          <w:numId w:val="1003"/>
        </w:numPr>
        <w:pStyle w:val="Compact"/>
      </w:pPr>
      <w:r>
        <w:rPr>
          <w:bCs/>
          <w:b/>
        </w:rPr>
        <w:t xml:space="preserve">Economic Volatility:</w:t>
      </w:r>
      <w:r>
        <w:t xml:space="preserve">Exchange rate fluctuations can affect the purchasing power of expatriates. The compensation package has been structured to include a cost-of-living adjustment clause linked to local economic indicators.</w:t>
      </w:r>
    </w:p>
    <w:bookmarkEnd w:id="28"/>
    <w:bookmarkStart w:id="29" w:name="timeline-and-milestones"/>
    <w:p>
      <w:pPr>
        <w:pStyle w:val="Heading2"/>
      </w:pPr>
      <w:r>
        <w:t xml:space="preserve">7.0 Timeline and Milestones</w:t>
      </w:r>
    </w:p>
    <w:p>
      <w:pPr>
        <w:pStyle w:val="FirstParagraph"/>
      </w:pPr>
      <w:r>
        <w:t xml:space="preserve">The execution of this project follows a strict timeline:</w:t>
      </w:r>
    </w:p>
    <w:p>
      <w:pPr>
        <w:numPr>
          <w:ilvl w:val="0"/>
          <w:numId w:val="1004"/>
        </w:numPr>
        <w:pStyle w:val="Compact"/>
      </w:pPr>
      <w:r>
        <w:rPr>
          <w:bCs/>
          <w:b/>
        </w:rPr>
        <w:t xml:space="preserve">Month 1-2:</w:t>
      </w:r>
      <w:r>
        <w:t xml:space="preserve">Sourcing and shortlisting candidates for the Professor role.</w:t>
      </w:r>
    </w:p>
    <w:p>
      <w:pPr>
        <w:numPr>
          <w:ilvl w:val="0"/>
          <w:numId w:val="1004"/>
        </w:numPr>
        <w:pStyle w:val="Compact"/>
      </w:pPr>
      <w:r>
        <w:rPr>
          <w:bCs/>
          <w:b/>
        </w:rPr>
        <w:t xml:space="preserve">Month 3:</w:t>
      </w:r>
      <w:r>
        <w:t xml:space="preserve">Final interviews and selection of the ideal candidate.</w:t>
      </w:r>
    </w:p>
    <w:p>
      <w:pPr>
        <w:numPr>
          <w:ilvl w:val="0"/>
          <w:numId w:val="1004"/>
        </w:numPr>
        <w:pStyle w:val="Compact"/>
      </w:pPr>
      <w:r>
        <w:rPr>
          <w:bCs/>
          <w:b/>
        </w:rPr>
        <w:t xml:space="preserve">Month 4-5:</w:t>
      </w:r>
      <w:r>
        <w:t xml:space="preserve">Negotiation of contracts, visa processing, and housing arrangements in Ankara.</w:t>
      </w:r>
    </w:p>
    <w:p>
      <w:pPr>
        <w:numPr>
          <w:ilvl w:val="0"/>
          <w:numId w:val="1004"/>
        </w:numPr>
        <w:pStyle w:val="Compact"/>
      </w:pPr>
      <w:r>
        <w:rPr>
          <w:bCs/>
          <w:b/>
        </w:rPr>
        <w:t xml:space="preserve">Month 6:</w:t>
      </w:r>
      <w:r>
        <w:t xml:space="preserve">Welcome seminar in Ankara to introduce the Professor to faculty and students.</w:t>
      </w:r>
    </w:p>
    <w:p>
      <w:pPr>
        <w:numPr>
          <w:ilvl w:val="0"/>
          <w:numId w:val="1000"/>
        </w:numPr>
        <w:pStyle w:val="Compact"/>
      </w:pPr>
      <w:r>
        <w:t xml:space="preserve">&gt;</w:t>
      </w:r>
    </w:p>
    <w:p>
      <w:pPr>
        <w:numPr>
          <w:ilvl w:val="0"/>
          <w:numId w:val="1004"/>
        </w:numPr>
        <w:pStyle w:val="Compact"/>
      </w:pPr>
      <w:r>
        <w:rPr>
          <w:bCs/>
          <w:b/>
        </w:rPr>
        <w:t xml:space="preserve">Month 7 onwards:</w:t>
      </w:r>
      <w:r>
        <w:t xml:space="preserve">Full operational status, including teaching loads and research supervision commencing.</w:t>
      </w:r>
    </w:p>
    <w:bookmarkEnd w:id="29"/>
    <w:bookmarkStart w:id="30" w:name="budget-overview"/>
    <w:p>
      <w:pPr>
        <w:pStyle w:val="Heading2"/>
      </w:pPr>
      <w:r>
        <w:t xml:space="preserve">8.0 Budget Overview</w:t>
      </w:r>
    </w:p>
    <w:p>
      <w:pPr>
        <w:pStyle w:val="FirstParagraph"/>
      </w:pPr>
      <w:r>
        <w:t xml:space="preserve">Funding for this initiative is drawn from the international collaboration fund. Major cost centers include:</w:t>
      </w:r>
    </w:p>
    <w:p>
      <w:pPr>
        <w:numPr>
          <w:ilvl w:val="0"/>
          <w:numId w:val="1005"/>
        </w:numPr>
        <w:pStyle w:val="Compact"/>
      </w:pPr>
      <w:r>
        <w:rPr>
          <w:bCs/>
          <w:b/>
        </w:rPr>
        <w:t xml:space="preserve">Salary and Benefits:</w:t>
      </w:r>
      <w:r>
        <w:t xml:space="preserve">A competitive package adjusted for the cost of living in Ankara.</w:t>
      </w:r>
    </w:p>
    <w:p>
      <w:pPr>
        <w:numPr>
          <w:ilvl w:val="0"/>
          <w:numId w:val="1005"/>
        </w:numPr>
        <w:pStyle w:val="Compact"/>
      </w:pPr>
      <w:r>
        <w:rPr>
          <w:bCs/>
          <w:b/>
        </w:rPr>
        <w:t xml:space="preserve">Housing Allowance:</w:t>
      </w:r>
      <w:r>
        <w:t xml:space="preserve">Rental subsidies for a secure and comfortable residence.</w:t>
      </w:r>
    </w:p>
    <w:p>
      <w:pPr>
        <w:numPr>
          <w:ilvl w:val="0"/>
          <w:numId w:val="1005"/>
        </w:numPr>
        <w:pStyle w:val="Compact"/>
      </w:pPr>
      <w:r>
        <w:rPr>
          <w:bCs/>
          <w:b/>
        </w:rPr>
        <w:t xml:space="preserve">Moving Expenses:</w:t>
      </w:r>
      <w:r>
        <w:t xml:space="preserve">Coverage of shipping, flights, and initial settlement costs.</w:t>
      </w:r>
    </w:p>
    <w:p>
      <w:pPr>
        <w:numPr>
          <w:ilvl w:val="0"/>
          <w:numId w:val="1000"/>
        </w:numPr>
        <w:pStyle w:val="Compact"/>
      </w:pPr>
      <w:r>
        <w:t xml:space="preserve">&gt;</w:t>
      </w:r>
    </w:p>
    <w:p>
      <w:pPr>
        <w:numPr>
          <w:ilvl w:val="0"/>
          <w:numId w:val="1005"/>
        </w:numPr>
        <w:pStyle w:val="Compact"/>
      </w:pPr>
      <w:r>
        <w:rPr>
          <w:bCs/>
          <w:b/>
        </w:rPr>
        <w:t xml:space="preserve">Research Grants:</w:t>
      </w:r>
      <w:r>
        <w:t xml:space="preserve">Inital seed funding for joint projects with Ankara institutions.</w:t>
      </w:r>
    </w:p>
    <w:bookmarkEnd w:id="30"/>
    <w:bookmarkStart w:id="31" w:name="conclusion"/>
    <w:p>
      <w:pPr>
        <w:pStyle w:val="Heading2"/>
      </w:pPr>
      <w:r>
        <w:t xml:space="preserve">9.0 Conclusion</w:t>
      </w:r>
    </w:p>
    <w:p>
      <w:pPr>
        <w:pStyle w:val="FirstParagraph"/>
      </w:pPr>
      <w:r>
        <w:t xml:space="preserve">The initiative to place a Professor in Turkey, Ankara, represents a significant investment in the future of our academic partnerships. By focusing on high-quality personnel and robust logistical support, we ensure that this project yields tangible benefits for both our home institution and our counterparts in Ankara. The Professor will not only be an educator but also a key node in the global network of knowledge exchange. This Project Report affirms our commitment to excellence, cultural respect, and long-term collaboration.</w:t>
      </w:r>
    </w:p>
    <w:p>
      <w:pPr>
        <w:pStyle w:val="BodyText"/>
      </w:pPr>
      <w:r>
        <w:t xml:space="preserve">We urge all stakeholders to adhere strictly to the guidelines outlined herein to ensure a successful deployment. The synergy between our academic traditions and the dynamic environment of Ankara promises mutual growth and innovation.</w:t>
      </w:r>
    </w:p>
    <w:bookmarkEnd w:id="31"/>
    <w:p>
      <w:pPr>
        <w:pStyle w:val="BodyText"/>
      </w:pPr>
      <w:r>
        <w:rPr>
          <w:iCs/>
          <w:i/>
        </w:rPr>
        <w:t xml:space="preserve">This document is classified as Internal Project Report. Unauthorized distribution outside of authorized stakeholders is prohibited. All references to Turkey, Ankara, Professor roles, and Project milestones are subject to contractual agreements finalized in Q4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Placement and Academic Development in Turkey, Ankara</dc:title>
  <dc:creator/>
  <dc:language>en</dc:language>
  <cp:keywords/>
  <dcterms:created xsi:type="dcterms:W3CDTF">2026-07-29T13:53:26Z</dcterms:created>
  <dcterms:modified xsi:type="dcterms:W3CDTF">2026-07-29T13:53:26Z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