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The University Commission on Academic Standards</w:t>
      </w:r>
      <w:r>
        <w:br/>
      </w:r>
    </w:p>
    <w:p>
      <w:pPr>
        <w:pStyle w:val="BodyText"/>
      </w:pPr>
      <w:r>
        <w:t xml:space="preserve">p</w:t>
      </w:r>
      <w:r>
        <w:rPr>
          <w:bCs/>
          <w:b/>
        </w:rPr>
        <w:t xml:space="preserve"> </w:t>
      </w:r>
      <w:r>
        <w:t xml:space="preserve">  From: Department of Higher Education Analysis</w:t>
      </w:r>
    </w:p>
    <w:bookmarkStart w:id="20" w:name="executive-summary"/>
    <w:p>
      <w:pPr>
        <w:pStyle w:val="Heading2"/>
      </w:pPr>
      <w:r>
        <w:t xml:space="preserve">Executive Summary</w:t>
      </w:r>
    </w:p>
    <w:p>
      <w:pPr>
        <w:pStyle w:val="FirstParagraph"/>
      </w:pPr>
      <w:r>
        <w:t xml:space="preserve">This Project Report serves as a comprehensive analysis of the academic and administrative landscape surrounding the position of</w:t>
      </w:r>
      <w:r>
        <w:t xml:space="preserve"> </w:t>
      </w:r>
      <w:r>
        <w:rPr>
          <w:bCs/>
          <w:b/>
        </w:rPr>
        <w:t xml:space="preserve">Professor</w:t>
      </w:r>
      <w:r>
        <w:t xml:space="preserve"> </w:t>
      </w:r>
      <w:r>
        <w:t xml:space="preserve">within the higher education institutions located in</w:t>
      </w:r>
      <w:r>
        <w:t xml:space="preserve"> </w:t>
      </w:r>
      <w:r>
        <w:rPr>
          <w:bCs/>
          <w:b/>
        </w:rPr>
        <w:t xml:space="preserve">United Kingdom London</w:t>
      </w:r>
      <w:r>
        <w:t xml:space="preserve">. As a global hub for research, innovation, and cultural exchange, London’s university sector operates under unique regulatory frameworks and competitive pressures. This document outlines the historical context of the professorial role, current challenges regarding recruitment and retention in</w:t>
      </w:r>
      <w:r>
        <w:t xml:space="preserve"> </w:t>
      </w:r>
      <w:r>
        <w:rPr>
          <w:bCs/>
          <w:b/>
        </w:rPr>
        <w:t xml:space="preserve">United Kingdom London</w:t>
      </w:r>
      <w:r>
        <w:t xml:space="preserve">, pedagogical shifts influenced by digital transformation, and strategic recommendations for maintaining academic excellence. The findings herein are critical for stakeholders aiming to sustain the prestige of</w:t>
      </w:r>
      <w:r>
        <w:t xml:space="preserve"> </w:t>
      </w:r>
      <w:r>
        <w:rPr>
          <w:bCs/>
          <w:b/>
        </w:rPr>
        <w:t xml:space="preserve">Professor</w:t>
      </w:r>
      <w:r>
        <w:t xml:space="preserve"> </w:t>
      </w:r>
      <w:r>
        <w:t xml:space="preserve">appointments in one of the world’s most prestigious academic cities.</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Professor</w:t>
      </w:r>
      <w:r>
        <w:t xml:space="preserve"> has evolved significantly over the past century, transitioning from a purely didactic function to a complex hybrid of researcher, administrator, and community leader. In the specific context of</w:t>
      </w:r>
      <w:r>
        <w:t xml:space="preserve"> </w:t>
      </w:r>
      <w:r>
        <w:rPr>
          <w:bCs/>
          <w:b/>
        </w:rPr>
        <w:t xml:space="preserve">United Kingdom London</w:t>
      </w:r>
      <w:r>
        <w:t xml:space="preserve">, this evolution is accelerated by the density of world-class institutions such as Imperial College London, University College London (UCL), King's College London, and the University of Westminster. These institutions compete not only domestically but globally for top-tier talent. This Project Report aims to dissect the multifaceted nature of being a</w:t>
      </w:r>
      <w:r>
        <w:t xml:space="preserve"> </w:t>
      </w:r>
      <w:r>
        <w:rPr>
          <w:bCs/>
          <w:b/>
        </w:rPr>
        <w:t xml:space="preserve">Professor</w:t>
      </w:r>
      <w:r>
        <w:t xml:space="preserve"> in this high-pressure environment, examining how local characteristics of</w:t>
      </w:r>
      <w:r>
        <w:t xml:space="preserve"> </w:t>
      </w:r>
      <w:r>
        <w:rPr>
          <w:bCs/>
          <w:b/>
        </w:rPr>
        <w:t xml:space="preserve">United Kingdom London</w:t>
      </w:r>
      <w:r>
        <w:t xml:space="preserve"> influence academic performance and institutional strategy.</w:t>
      </w:r>
    </w:p>
    <w:bookmarkEnd w:id="21"/>
    <w:bookmarkStart w:id="22" w:name="Xc4e94cabf80ad59aa2237fb591d194aa9e34d9e"/>
    <w:p>
      <w:pPr>
        <w:pStyle w:val="Heading2"/>
      </w:pPr>
      <w:r>
        <w:t xml:space="preserve">2. Historical Context and Regulatory Framework</w:t>
      </w:r>
    </w:p>
    <w:p>
      <w:pPr>
        <w:pStyle w:val="FirstParagraph"/>
      </w:pPr>
      <w:r>
        <w:t xml:space="preserve">The title of</w:t>
      </w:r>
      <w:r>
        <w:t xml:space="preserve"> </w:t>
      </w:r>
      <w:r>
        <w:rPr>
          <w:bCs/>
          <w:b/>
        </w:rPr>
        <w:t xml:space="preserve">Professor</w:t>
      </w:r>
      <w:r>
        <w:t xml:space="preserve"> in the United Kingdom is traditionally the most senior academic rank, a distinction that carries significant weight in international academia. Historically, appointments were made based on scholarly merit and peer review within specific disciplines. However, in recent decades, particularly within</w:t>
      </w:r>
      <w:r>
        <w:t xml:space="preserve"> </w:t>
      </w:r>
      <w:r>
        <w:rPr>
          <w:bCs/>
          <w:b/>
        </w:rPr>
        <w:t xml:space="preserve">United Kingdom London</w:t>
      </w:r>
      <w:r>
        <w:t xml:space="preserve">, the criteria have expanded to include leadership capabilities and fundraising potential.</w:t>
      </w:r>
    </w:p>
    <w:p>
      <w:pPr>
        <w:pStyle w:val="BodyText"/>
      </w:pPr>
      <w:r>
        <w:t xml:space="preserve">The regulatory framework governing these appointments is overseen by bodies such as the Office for Students (OfS) and various subject-specific benchmarking statements. In</w:t>
      </w:r>
      <w:r>
        <w:t xml:space="preserve"> </w:t>
      </w:r>
      <w:r>
        <w:rPr>
          <w:bCs/>
          <w:b/>
        </w:rPr>
        <w:t xml:space="preserve">United Kingdom London</w:t>
      </w:r>
      <w:r>
        <w:t xml:space="preserve">, institutions must also adhere to strict visa and immigration policies, especially for international faculty members who form a substantial portion of the professoriate. The Project Report notes that while the core duties of a</w:t>
      </w:r>
      <w:r>
        <w:t xml:space="preserve"> </w:t>
      </w:r>
      <w:r>
        <w:rPr>
          <w:bCs/>
          <w:b/>
        </w:rPr>
        <w:t xml:space="preserve">Professor</w:t>
      </w:r>
      <w:r>
        <w:t xml:space="preserve"> remain rooted in teaching and research, the administrative burden has increased, requiring individuals to navigate complex compliance landscapes unique to London’s diverse demographic and regulatory environment.</w:t>
      </w:r>
    </w:p>
    <w:bookmarkEnd w:id="22"/>
    <w:bookmarkStart w:id="26" w:name="X11588afa257e25b1f792adc896cb6cc455cfc6e"/>
    <w:p>
      <w:pPr>
        <w:pStyle w:val="Heading2"/>
      </w:pPr>
      <w:r>
        <w:t xml:space="preserve">3. The Role of Professor: Key Responsibilities</w:t>
      </w:r>
    </w:p>
    <w:bookmarkStart w:id="23" w:name="research-excellence-framework-ref"/>
    <w:p>
      <w:pPr>
        <w:pStyle w:val="Heading3"/>
      </w:pPr>
      <w:r>
        <w:t xml:space="preserve">3.1 Research Excellence Framework (REF)</w:t>
      </w:r>
    </w:p>
    <w:p>
      <w:pPr>
        <w:pStyle w:val="FirstParagraph"/>
      </w:pPr>
    </w:p>
    <w:p>
      <w:pPr>
        <w:pStyle w:val="BodyText"/>
      </w:pPr>
      <w:r>
        <w:t xml:space="preserve"> </w:t>
      </w:r>
    </w:p>
    <w:p>
      <w:pPr>
        <w:pStyle w:val="BodyText"/>
      </w:pPr>
      <w:r>
        <w:t xml:space="preserve">A defining characteristic of the modern</w:t>
      </w:r>
      <w:r>
        <w:t xml:space="preserve"> </w:t>
      </w:r>
      <w:r>
        <w:rPr>
          <w:bCs/>
          <w:b/>
        </w:rPr>
        <w:t xml:space="preserve">Professor</w:t>
      </w:r>
      <w:r>
        <w:t xml:space="preserve"> in the UK is their integral role in the Research Excellence Framework (REF). Institutions in</w:t>
      </w:r>
      <w:r>
        <w:t xml:space="preserve"> </w:t>
      </w:r>
      <w:r>
        <w:rPr>
          <w:bCs/>
          <w:b/>
        </w:rPr>
        <w:t xml:space="preserve">United Kingdom London</w:t>
      </w:r>
      <w:r>
        <w:t xml:space="preserve"> routinely rank at or near the top of REF submissions, placing immense pressure on individual academics to produce high-impact research. A</w:t>
      </w:r>
      <w:r>
        <w:t xml:space="preserve"> </w:t>
      </w:r>
      <w:r>
        <w:rPr>
          <w:bCs/>
          <w:b/>
        </w:rPr>
        <w:t xml:space="preserve">Professor</w:t>
      </w:r>
      <w:r>
        <w:t xml:space="preserve"> is expected to lead research groups, secure substantial grant funding from bodies like UK Research and Innovation (UKRI), and publish in high-impact journals. This emphasis on quantifiable output defines the daily workflow of senior faculty in the capital.</w:t>
      </w:r>
    </w:p>
    <w:bookmarkEnd w:id="23"/>
    <w:bookmarkStart w:id="24" w:name="teaching-and-pedagogy"/>
    <w:p>
      <w:pPr>
        <w:pStyle w:val="Heading3"/>
      </w:pPr>
      <w:r>
        <w:t xml:space="preserve">3.2 Teaching and Pedagogy</w:t>
      </w:r>
    </w:p>
    <w:p>
      <w:pPr>
        <w:pStyle w:val="FirstParagraph"/>
      </w:pPr>
    </w:p>
    <w:p>
      <w:pPr>
        <w:pStyle w:val="BodyText"/>
      </w:pPr>
      <w:r>
        <w:t xml:space="preserve"> </w:t>
      </w:r>
    </w:p>
    <w:p>
      <w:pPr>
        <w:pStyle w:val="BodyText"/>
      </w:pPr>
      <w:r>
        <w:t xml:space="preserve">While research often dominates public perception, teaching remains a cornerstone of a</w:t>
      </w:r>
      <w:r>
        <w:t xml:space="preserve"> </w:t>
      </w:r>
      <w:r>
        <w:rPr>
          <w:bCs/>
          <w:b/>
        </w:rPr>
        <w:t xml:space="preserve">Professor</w:t>
      </w:r>
      <w:r>
        <w:t xml:space="preserve"> ’s duties in</w:t>
      </w:r>
      <w:r>
        <w:t xml:space="preserve"> </w:t>
      </w:r>
      <w:r>
        <w:rPr>
          <w:bCs/>
          <w:b/>
        </w:rPr>
        <w:t xml:space="preserve">United Kingdom London</w:t>
      </w:r>
      <w:r>
        <w:t xml:space="preserve">. The student body here is exceptionally diverse, comprising domestic students and a large cohort of international scholars. Consequently, professors must adapt their pedagogical approaches to be inclusive and culturally responsive. Lectures are no longer the primary mode of delivery; instead, seminars, workshops, and supervised research projects require a more hands-on mentoring style from senior faculty.</w:t>
      </w:r>
    </w:p>
    <w:bookmarkEnd w:id="24"/>
    <w:bookmarkStart w:id="25" w:name="administrative-leadership"/>
    <w:p>
      <w:pPr>
        <w:pStyle w:val="Heading3"/>
      </w:pPr>
      <w:r>
        <w:t xml:space="preserve">3.3 Administrative Leadership</w:t>
      </w:r>
    </w:p>
    <w:p>
      <w:pPr>
        <w:pStyle w:val="FirstParagraph"/>
      </w:pPr>
    </w:p>
    <w:p>
      <w:pPr>
        <w:pStyle w:val="BodyText"/>
      </w:pPr>
      <w:r>
        <w:t xml:space="preserve"> </w:t>
      </w:r>
    </w:p>
    <w:p>
      <w:pPr>
        <w:pStyle w:val="BodyText"/>
      </w:pPr>
      <w:r>
        <w:t xml:space="preserve">In</w:t>
      </w:r>
      <w:r>
        <w:t xml:space="preserve"> </w:t>
      </w:r>
      <w:r>
        <w:rPr>
          <w:bCs/>
          <w:b/>
        </w:rPr>
        <w:t xml:space="preserve">United Kingdom London</w:t>
      </w:r>
      <w:r>
        <w:t xml:space="preserve">, universities operate like large corporations. A</w:t>
      </w:r>
      <w:r>
        <w:t xml:space="preserve"> </w:t>
      </w:r>
      <w:r>
        <w:rPr>
          <w:bCs/>
          <w:b/>
        </w:rPr>
        <w:t xml:space="preserve">Professor</w:t>
      </w:r>
      <w:r>
        <w:t xml:space="preserve"> is frequently required to take on significant administrative roles, such as heading departments, managing budgets, or leading strategic initiatives. This shift reflects the broader trend of "academic capitalism," where faculty members are expected to contribute directly to the financial and reputational sustainability of their institution.</w:t>
      </w:r>
    </w:p>
    <w:bookmarkEnd w:id="25"/>
    <w:bookmarkEnd w:id="26"/>
    <w:bookmarkStart w:id="27" w:name="X5c1b9d78b69d5c236822e094ca9c4b616a03f0e"/>
    <w:p>
      <w:pPr>
        <w:pStyle w:val="Heading2"/>
      </w:pPr>
      <w:r>
        <w:t xml:space="preserve">4. Challenges Facing Professors in United Kingdom London</w:t>
      </w:r>
    </w:p>
    <w:p>
      <w:pPr>
        <w:pStyle w:val="FirstParagraph"/>
      </w:pPr>
      <w:r>
        <w:t xml:space="preserve">The Project Report identifies several pressing challenges that affect the wellbeing and effectiveness of</w:t>
      </w:r>
      <w:r>
        <w:t xml:space="preserve"> </w:t>
      </w:r>
      <w:r>
        <w:rPr>
          <w:bCs/>
          <w:b/>
        </w:rPr>
        <w:t xml:space="preserve">Professor</w:t>
      </w:r>
      <w:r>
        <w:t xml:space="preserve"> appointments in this region.</w:t>
      </w:r>
    </w:p>
    <w:p>
      <w:pPr>
        <w:pStyle w:val="BodyText"/>
      </w:pPr>
    </w:p>
    <w:p>
      <w:pPr>
        <w:pStyle w:val="BlockText"/>
      </w:pPr>
      <w:r>
        <w:t xml:space="preserve"> </w:t>
      </w:r>
    </w:p>
    <w:p>
      <w:pPr>
        <w:pStyle w:val="FirstParagraph"/>
      </w:pPr>
    </w:p>
    <w:p>
      <w:pPr>
        <w:numPr>
          <w:ilvl w:val="0"/>
          <w:numId w:val="1001"/>
        </w:numPr>
        <w:pStyle w:val="Compact"/>
      </w:pPr>
      <w:r>
        <w:rPr>
          <w:bCs/>
          <w:b/>
        </w:rPr>
        <w:t xml:space="preserve">Cost of Living Crisis:</w:t>
      </w:r>
      <w:r>
        <w:t xml:space="preserve"> London is one of the most expensive cities in the world. Despite high salaries relative to other UK regions, many</w:t>
      </w:r>
      <w:r>
        <w:t xml:space="preserve"> </w:t>
      </w:r>
      <w:r>
        <w:rPr>
          <w:bCs/>
          <w:b/>
        </w:rPr>
        <w:t xml:space="preserve">Professor</w:t>
      </w:r>
      <w:r>
        <w:t xml:space="preserve"> candidates find housing costs prohibitive. This has led to a stagnation in recruitment from certain socioeconomic backgrounds, potentially reducing diversity within senior academic ranks.</w:t>
      </w:r>
    </w:p>
    <w:p>
      <w:pPr>
        <w:numPr>
          <w:ilvl w:val="0"/>
          <w:numId w:val="1001"/>
        </w:numPr>
        <w:pStyle w:val="Compact"/>
      </w:pPr>
      <w:r>
        <w:rPr>
          <w:bCs/>
          <w:b/>
        </w:rPr>
        <w:t xml:space="preserve">Brexit Impact:</w:t>
      </w:r>
      <w:r>
        <w:t xml:space="preserve"> Since the UK’s departure from the European Union, there have been significant hurdles for</w:t>
      </w:r>
      <w:r>
        <w:t xml:space="preserve"> </w:t>
      </w:r>
      <w:r>
        <w:rPr>
          <w:bCs/>
          <w:b/>
        </w:rPr>
        <w:t xml:space="preserve">Professor</w:t>
      </w:r>
      <w:r>
        <w:t xml:space="preserve"> recruitment from EU nations. Visa complexities and the loss of automatic recognition of certain qualifications have slowed down hiring processes in</w:t>
      </w:r>
      <w:r>
        <w:t xml:space="preserve"> </w:t>
      </w:r>
      <w:r>
        <w:rPr>
          <w:bCs/>
          <w:b/>
        </w:rPr>
        <w:t xml:space="preserve">United Kingdom London</w:t>
      </w:r>
      <w:r>
        <w:t xml:space="preserve">, forcing universities to compete more aggressively with US and Asian institutions.</w:t>
      </w:r>
    </w:p>
    <w:p>
      <w:pPr>
        <w:numPr>
          <w:ilvl w:val="0"/>
          <w:numId w:val="1001"/>
        </w:numPr>
      </w:pPr>
    </w:p>
    <w:p>
      <w:pPr>
        <w:numPr>
          <w:ilvl w:val="0"/>
          <w:numId w:val="1000"/>
        </w:numPr>
      </w:pPr>
      <w:r>
        <w:t xml:space="preserve"> </w:t>
      </w:r>
    </w:p>
    <w:p>
      <w:pPr>
        <w:numPr>
          <w:ilvl w:val="0"/>
          <w:numId w:val="1001"/>
        </w:numPr>
        <w:pStyle w:val="Compact"/>
      </w:pPr>
      <w:r>
        <w:rPr>
          <w:bCs/>
          <w:b/>
        </w:rPr>
        <w:t xml:space="preserve">Mental Health Pressures:</w:t>
      </w:r>
      <w:r>
        <w:t xml:space="preserve"> The relentless demand for research output, teaching excellence, and administrative efficiency has contributed to high levels of stress among senior academics. Universities in</w:t>
      </w:r>
      <w:r>
        <w:t xml:space="preserve"> </w:t>
      </w:r>
      <w:r>
        <w:rPr>
          <w:bCs/>
          <w:b/>
        </w:rPr>
        <w:t xml:space="preserve">United Kingdom London</w:t>
      </w:r>
      <w:r>
        <w:t xml:space="preserve"> are increasingly recognizing the need for robust support systems to prevent burnout among their most senior staff.</w:t>
      </w:r>
    </w:p>
    <w:bookmarkEnd w:id="27"/>
    <w:bookmarkStart w:id="31" w:name="strategic-recommendations"/>
    <w:p>
      <w:pPr>
        <w:pStyle w:val="Heading2"/>
      </w:pPr>
      <w:r>
        <w:t xml:space="preserve">5. Strategic Recommendations</w:t>
      </w:r>
    </w:p>
    <w:p>
      <w:pPr>
        <w:pStyle w:val="FirstParagraph"/>
      </w:pPr>
    </w:p>
    <w:p>
      <w:pPr>
        <w:pStyle w:val="BodyText"/>
      </w:pPr>
      <w:r>
        <w:t xml:space="preserve"> </w:t>
      </w:r>
    </w:p>
    <w:p>
      <w:pPr>
        <w:pStyle w:val="BodyText"/>
      </w:pPr>
      <w:r>
        <w:t xml:space="preserve">To address the challenges outlined above and to enhance the value of a</w:t>
      </w:r>
      <w:r>
        <w:t xml:space="preserve"> </w:t>
      </w:r>
      <w:r>
        <w:rPr>
          <w:bCs/>
          <w:b/>
        </w:rPr>
        <w:t xml:space="preserve">Professor</w:t>
      </w:r>
      <w:r>
        <w:t xml:space="preserve"> role in this competitive market, the Project Report proposes the following strategies for institutions across</w:t>
      </w:r>
      <w:r>
        <w:t xml:space="preserve"> </w:t>
      </w:r>
      <w:r>
        <w:rPr>
          <w:bCs/>
          <w:b/>
        </w:rPr>
        <w:t xml:space="preserve">United Kingdom London</w:t>
      </w:r>
      <w:r>
        <w:t xml:space="preserve">:</w:t>
      </w:r>
    </w:p>
    <w:bookmarkStart w:id="28" w:name="X033ba467d025f3a9fa1d40395edf9f935f7b272"/>
    <w:p>
      <w:pPr>
        <w:pStyle w:val="Heading3"/>
      </w:pPr>
      <w:r>
        <w:t xml:space="preserve">5.1 Enhanced Support for International Recruitment</w:t>
      </w:r>
    </w:p>
    <w:p>
      <w:pPr>
        <w:pStyle w:val="FirstParagraph"/>
      </w:pPr>
    </w:p>
    <w:p>
      <w:pPr>
        <w:pStyle w:val="BodyText"/>
      </w:pPr>
      <w:r>
        <w:t xml:space="preserve"> </w:t>
      </w:r>
    </w:p>
    <w:p>
      <w:pPr>
        <w:pStyle w:val="BodyText"/>
      </w:pPr>
      <w:r>
        <w:t xml:space="preserve">Institutions must streamline visa processes and provide dedicated administrative support for international hires. Creating a welcoming environment that addresses cultural adjustment issues is crucial for retaining top talent in</w:t>
      </w:r>
      <w:r>
        <w:t xml:space="preserve"> </w:t>
      </w:r>
      <w:r>
        <w:rPr>
          <w:bCs/>
          <w:b/>
        </w:rPr>
        <w:t xml:space="preserve">United Kingdom London</w:t>
      </w:r>
      <w:r>
        <w:t xml:space="preserve">.</w:t>
      </w:r>
    </w:p>
    <w:bookmarkEnd w:id="28"/>
    <w:bookmarkStart w:id="29" w:name="flexible-working-arrangements"/>
    <w:p>
      <w:pPr>
        <w:pStyle w:val="Heading3"/>
      </w:pPr>
      <w:r>
        <w:t xml:space="preserve">5.2 Flexible Working Arrangements</w:t>
      </w:r>
    </w:p>
    <w:p>
      <w:pPr>
        <w:pStyle w:val="FirstParagraph"/>
      </w:pPr>
    </w:p>
    <w:p>
      <w:pPr>
        <w:pStyle w:val="BodyText"/>
      </w:pPr>
      <w:r>
        <w:t xml:space="preserve"> </w:t>
      </w:r>
    </w:p>
    <w:p>
      <w:pPr>
        <w:pStyle w:val="BodyText"/>
      </w:pPr>
      <w:r>
        <w:t xml:space="preserve">To mitigate the cost of living and burnout issues, universities should offer flexible working arrangements. This could include hybrid teaching models that reduce commute times or sabbatical programs that allow</w:t>
      </w:r>
      <w:r>
        <w:t xml:space="preserve"> </w:t>
      </w:r>
      <w:r>
        <w:rPr>
          <w:bCs/>
          <w:b/>
        </w:rPr>
        <w:t xml:space="preserve">Professor</w:t>
      </w:r>
      <w:r>
        <w:t xml:space="preserve"> s to focus on deep research without immediate administrative distractions.</w:t>
      </w:r>
    </w:p>
    <w:bookmarkEnd w:id="29"/>
    <w:bookmarkStart w:id="30" w:name="investment-in-early-career-academics"/>
    <w:p>
      <w:pPr>
        <w:pStyle w:val="Heading3"/>
      </w:pPr>
      <w:r>
        <w:t xml:space="preserve">5.3 Investment in Early Career Academics</w:t>
      </w:r>
    </w:p>
    <w:p>
      <w:pPr>
        <w:pStyle w:val="FirstParagraph"/>
      </w:pPr>
    </w:p>
    <w:p>
      <w:pPr>
        <w:pStyle w:val="BodyText"/>
      </w:pPr>
      <w:r>
        <w:t xml:space="preserve"> </w:t>
      </w:r>
    </w:p>
    <w:p>
      <w:pPr>
        <w:pStyle w:val="BodyText"/>
      </w:pPr>
      <w:r>
        <w:t xml:space="preserve">A sustainable academic ecosystem requires a clear pathway from Lecturer to</w:t>
      </w:r>
      <w:r>
        <w:t xml:space="preserve"> </w:t>
      </w:r>
      <w:r>
        <w:rPr>
          <w:bCs/>
          <w:b/>
        </w:rPr>
        <w:t xml:space="preserve">Professor</w:t>
      </w:r>
      <w:r>
        <w:t xml:space="preserve">. Institutions in</w:t>
      </w:r>
      <w:r>
        <w:t xml:space="preserve"> </w:t>
      </w:r>
      <w:r>
        <w:rPr>
          <w:bCs/>
          <w:b/>
        </w:rPr>
        <w:t xml:space="preserve">United Kingdom London</w:t>
      </w:r>
      <w:r>
        <w:t xml:space="preserve"> should invest more heavily in early career development, providing mentorship and protected time for research to ensure a steady pipeline of future professors.</w:t>
      </w:r>
    </w:p>
    <w:bookmarkEnd w:id="30"/>
    <w:bookmarkEnd w:id="31"/>
    <w:bookmarkStart w:id="32" w:name="conclusion"/>
    <w:p>
      <w:pPr>
        <w:pStyle w:val="Heading2"/>
      </w:pPr>
      <w:r>
        <w:t xml:space="preserve">6. Conclusion</w:t>
      </w:r>
    </w:p>
    <w:p>
      <w:pPr>
        <w:pStyle w:val="FirstParagraph"/>
      </w:pPr>
    </w:p>
    <w:p>
      <w:pPr>
        <w:pStyle w:val="BodyText"/>
      </w:pPr>
      <w:r>
        <w:t xml:space="preserve"> </w:t>
      </w:r>
    </w:p>
    <w:p>
      <w:pPr>
        <w:pStyle w:val="BodyText"/>
      </w:pPr>
      <w:r>
        <w:t xml:space="preserve">The role of the</w:t>
      </w:r>
      <w:r>
        <w:t xml:space="preserve"> </w:t>
      </w:r>
      <w:r>
        <w:rPr>
          <w:bCs/>
          <w:b/>
        </w:rPr>
        <w:t xml:space="preserve">Professor</w:t>
      </w:r>
      <w:r>
        <w:t xml:space="preserve"> in</w:t>
      </w:r>
      <w:r>
        <w:t xml:space="preserve"> </w:t>
      </w:r>
      <w:r>
        <w:rPr>
          <w:bCs/>
          <w:b/>
        </w:rPr>
        <w:t xml:space="preserve">United Kingdom London</w:t>
      </w:r>
      <w:r>
        <w:t xml:space="preserve"> is pivotal to maintaining the region’s status as a global intellectual capital. This Project Report has highlighted that while the traditional duties of teaching and research remain vital, they are now embedded in a broader context of administrative leadership and international competition. The unique pressures of operating in</w:t>
      </w:r>
      <w:r>
        <w:t xml:space="preserve"> </w:t>
      </w:r>
      <w:r>
        <w:rPr>
          <w:bCs/>
          <w:b/>
        </w:rPr>
        <w:t xml:space="preserve">United Kingdom London</w:t>
      </w:r>
      <w:r>
        <w:t xml:space="preserve">, from housing costs to post-Brexit regulatory changes, require institutions to adopt innovative HR strategies. By investing in their</w:t>
      </w:r>
      <w:r>
        <w:t xml:space="preserve"> </w:t>
      </w:r>
      <w:r>
        <w:rPr>
          <w:bCs/>
          <w:b/>
        </w:rPr>
        <w:t xml:space="preserve">Professor</w:t>
      </w:r>
      <w:r>
        <w:t xml:space="preserve"> staff through better support systems, flexible policies, and streamlined recruitment processes, universities can ensure that they continue to attract and retain the world’s best academic minds. The future of higher education in this city depends on recognizing the holistic needs of its most senior employees.</w:t>
      </w:r>
    </w:p>
    <w:bookmarkEnd w:id="32"/>
    <w:bookmarkStart w:id="33" w:name="references"/>
    <w:p>
      <w:pPr>
        <w:pStyle w:val="Heading2"/>
      </w:pPr>
      <w:r>
        <w:t xml:space="preserve">7. References</w:t>
      </w:r>
    </w:p>
    <w:p>
      <w:pPr>
        <w:pStyle w:val="FirstParagraph"/>
      </w:pPr>
    </w:p>
    <w:p>
      <w:pPr>
        <w:pStyle w:val="BodyText"/>
      </w:pPr>
      <w:r>
        <w:t xml:space="preserve"> </w:t>
      </w:r>
    </w:p>
    <w:p>
      <w:pPr>
        <w:numPr>
          <w:ilvl w:val="0"/>
          <w:numId w:val="1002"/>
        </w:numPr>
        <w:pStyle w:val="Compact"/>
      </w:pPr>
      <w:r>
        <w:t xml:space="preserve">Council for UK Research and Innovation (UKRI). (2023). *Strategic Priorities Fund: Annual Review*. London: UKRI.</w:t>
      </w:r>
    </w:p>
    <w:p>
      <w:pPr>
        <w:numPr>
          <w:ilvl w:val="0"/>
          <w:numId w:val="1002"/>
        </w:numPr>
        <w:pStyle w:val="Compact"/>
      </w:pPr>
      <w:r>
        <w:t xml:space="preserve">HESA. (2022). *Staff in Higher Education 2019/19 to 2018/19*. Higher Education Statistics Agency.</w:t>
      </w:r>
    </w:p>
    <w:p>
      <w:pPr>
        <w:numPr>
          <w:ilvl w:val="0"/>
          <w:numId w:val="1002"/>
        </w:numPr>
        <w:pStyle w:val="Compact"/>
      </w:pPr>
      <w:r>
        <w:t xml:space="preserve">The Office for Students. (2023). *Regulating Quality in Higher Education: Report on Standards*. London: OfS.</w:t>
      </w:r>
    </w:p>
    <w:p>
      <w:pPr>
        <w:numPr>
          <w:ilvl w:val="0"/>
          <w:numId w:val="1002"/>
        </w:numPr>
        <w:pStyle w:val="Compact"/>
      </w:pPr>
      <w:r>
        <w:t xml:space="preserve">Times Higher Education. (2023). *World University Rankings 2024: United Kingdom Institutions Analysis*. THE Insights.</w:t>
      </w:r>
    </w:p>
    <w:p>
      <w:pPr>
        <w:pStyle w:val="FirstParagraph"/>
      </w:pPr>
      <w:r>
        <w:t xml:space="preserve">End of Project Report</w:t>
      </w:r>
      <w:r>
        <w:br/>
      </w:r>
      <w:r>
        <w:t xml:space="preserve">© 2023 Academic Review Board, United Kingdom London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and Impact of the Professor Role in United Kingdom London</dc:title>
  <dc:creator/>
  <dc:language>en</dc:language>
  <cp:keywords/>
  <dcterms:created xsi:type="dcterms:W3CDTF">2026-07-30T03:08:39Z</dcterms:created>
  <dcterms:modified xsi:type="dcterms:W3CDTF">2026-07-30T03:08:39Z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