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Project</w:t>
      </w:r>
      <w:r>
        <w:t xml:space="preserve"> </w:t>
      </w:r>
      <w:r>
        <w:t xml:space="preserve">Manager</w:t>
      </w:r>
      <w:r>
        <w:t xml:space="preserve"> </w:t>
      </w:r>
      <w:r>
        <w:t xml:space="preserve">Operations</w:t>
      </w:r>
      <w:r>
        <w:t xml:space="preserve"> </w:t>
      </w:r>
      <w:r>
        <w:t xml:space="preserve">in</w:t>
      </w:r>
      <w:r>
        <w:t xml:space="preserve"> </w:t>
      </w:r>
      <w:r>
        <w:t xml:space="preserve">Uzbekistan</w:t>
      </w:r>
      <w:r>
        <w:t xml:space="preserve"> </w:t>
      </w:r>
      <w:r>
        <w:t xml:space="preserve">Tashkent</w:t>
      </w:r>
    </w:p>
    <w:bookmarkStart w:id="20" w:name="Xedb64d278f1376456400e50e4e7d9f1737ffcb6"/>
    <w:p>
      <w:pPr>
        <w:pStyle w:val="Heading1"/>
      </w:pPr>
      <w:r>
        <w:t xml:space="preserve">Project Report</w:t>
      </w:r>
      <w:r>
        <w:t xml:space="preserve">: Strategic Oversight &amp; Execution Framework for the</w:t>
      </w:r>
      <w:r>
        <w:t xml:space="preserve"> </w:t>
      </w:r>
      <w:r>
        <w:t xml:space="preserve">Project Manager</w:t>
      </w:r>
      <w:r>
        <w:t xml:space="preserve"> </w:t>
      </w:r>
      <w:r>
        <w:t xml:space="preserve">Operating in</w:t>
      </w:r>
      <w:r>
        <w:t xml:space="preserve"> </w:t>
      </w:r>
      <w:r>
        <w:t xml:space="preserve">Uzbekistan Tashkent</w:t>
      </w:r>
    </w:p>
    <w:p>
      <w:pPr>
        <w:pStyle w:val="FirstParagraph"/>
      </w:pPr>
      <w:r>
        <w:rPr>
          <w:bCs/>
          <w:b/>
        </w:rPr>
        <w:t xml:space="preserve">Date:</w:t>
      </w:r>
      <w:r>
        <w:t xml:space="preserve"> </w:t>
      </w:r>
      <w:r>
        <w:t xml:space="preserve">October 24, 2024 |</w:t>
      </w:r>
      <w:r>
        <w:t xml:space="preserve"> </w:t>
      </w:r>
      <w:r>
        <w:rPr>
          <w:bCs/>
          <w:b/>
        </w:rPr>
        <w:t xml:space="preserve">Reporting Period:</w:t>
      </w:r>
      <w:r>
        <w:t xml:space="preserve"> </w:t>
      </w:r>
      <w:r>
        <w:t xml:space="preserve">Q3-Q4 Cycle |</w:t>
      </w:r>
      <w:r>
        <w:t xml:space="preserve"> </w:t>
      </w:r>
      <w:r>
        <w:rPr>
          <w:bCs/>
          <w:b/>
        </w:rPr>
        <w:t xml:space="preserve">Status:</w:t>
      </w:r>
      <w:r>
        <w:t xml:space="preserve"> </w:t>
      </w:r>
      <w:r>
        <w:t xml:space="preserve">Active / On-Track</w:t>
      </w:r>
    </w:p>
    <w:p>
      <w:pPr>
        <w:pStyle w:val="BodyText"/>
      </w:pPr>
      <w:r>
        <w:t xml:space="preserve">This comprehensive document functions as the primary governance instrument for tracking operational progress, financial stewardship, and strategic alignment. As a formalized</w:t>
      </w:r>
      <w:r>
        <w:t xml:space="preserve"> </w:t>
      </w:r>
      <w:r>
        <w:t xml:space="preserve">Project Report</w:t>
      </w:r>
      <w:r>
        <w:t xml:space="preserve">, it provides executive leadership with transparent visibility into how the designated</w:t>
      </w:r>
      <w:r>
        <w:t xml:space="preserve"> </w:t>
      </w:r>
      <w:r>
        <w:t xml:space="preserve">Project Manager</w:t>
      </w:r>
      <w:r>
        <w:t xml:space="preserve"> </w:t>
      </w:r>
      <w:r>
        <w:t xml:space="preserve">coordinates cross-functional teams, mitigates emerging risks, and delivers measurable outcomes within the dynamic socio-economic landscape of</w:t>
      </w:r>
      <w:r>
        <w:t xml:space="preserve"> </w:t>
      </w:r>
      <w:r>
        <w:t xml:space="preserve">Uzbekistan Tashkent</w:t>
      </w:r>
      <w:r>
        <w:t xml:space="preserve">.</w:t>
      </w:r>
    </w:p>
    <w:bookmarkEnd w:id="20"/>
    <w:bookmarkStart w:id="22" w:name="executive-summary"/>
    <w:bookmarkStart w:id="21" w:name="executive-summary-governance-context"/>
    <w:p>
      <w:pPr>
        <w:pStyle w:val="Heading2"/>
      </w:pPr>
      <w:r>
        <w:rPr>
          <w:bCs/>
          <w:b/>
        </w:rPr>
        <w:t xml:space="preserve">1. Executive Summary &amp; Governance Context</w:t>
      </w:r>
    </w:p>
    <w:p>
      <w:pPr>
        <w:pStyle w:val="FirstParagraph"/>
      </w:pPr>
      <w:r>
        <w:t xml:space="preserve">The purpose of this</w:t>
      </w:r>
      <w:r>
        <w:t xml:space="preserve"> </w:t>
      </w:r>
      <w:r>
        <w:t xml:space="preserve">Project Report</w:t>
      </w:r>
      <w:r>
        <w:t xml:space="preserve"> </w:t>
      </w:r>
      <w:r>
        <w:t xml:space="preserve">is to evaluate the effectiveness, compliance, and milestone achievement of the ongoing initiative directed by the appointed</w:t>
      </w:r>
      <w:r>
        <w:t xml:space="preserve"> </w:t>
      </w:r>
      <w:r>
        <w:t xml:space="preserve">Project Manager</w:t>
      </w:r>
      <w:r>
        <w:t xml:space="preserve">. Operating within</w:t>
      </w:r>
      <w:r>
        <w:t xml:space="preserve"> </w:t>
      </w:r>
      <w:r>
        <w:t xml:space="preserve">Uzbekistan Tashkent</w:t>
      </w:r>
      <w:r>
        <w:t xml:space="preserve"> </w:t>
      </w:r>
      <w:r>
        <w:t xml:space="preserve">presents unique opportunities for infrastructure modernization, digital transformation, and public-private partnership development. This report documents how leadership strategies have been localized to meet regional expectations while maintaining international standards of project delivery. The</w:t>
      </w:r>
      <w:r>
        <w:t xml:space="preserve"> </w:t>
      </w:r>
      <w:r>
        <w:t xml:space="preserve">Project Manager</w:t>
      </w:r>
      <w:r>
        <w:t xml:space="preserve"> </w:t>
      </w:r>
      <w:r>
        <w:t xml:space="preserve">has successfully navigated regulatory frameworks, optimized resource allocation, and established robust communication channels across all stakeholder tiers embedded in</w:t>
      </w:r>
      <w:r>
        <w:t xml:space="preserve"> </w:t>
      </w:r>
      <w:r>
        <w:t xml:space="preserve">Uzbekistan Tashkent</w:t>
      </w:r>
      <w:r>
        <w:t xml:space="preserve">.</w:t>
      </w:r>
    </w:p>
    <w:p>
      <w:pPr>
        <w:pStyle w:val="BodyText"/>
      </w:pPr>
      <w:r>
        <w:t xml:space="preserve">Key accomplishments captured within this cycle include the completion of phase two deliverables ahead of schedule, a seventeen percent reduction in operational overhead through strategic vendor consolidation, and the implementation of an adaptive risk mitigation protocol tailored specifically to market fluctuations observed in</w:t>
      </w:r>
      <w:r>
        <w:t xml:space="preserve"> </w:t>
      </w:r>
      <w:r>
        <w:t xml:space="preserve">Uzbekistan Tashkent</w:t>
      </w:r>
      <w:r>
        <w:t xml:space="preserve">. Every metric presented herein has been validated against baseline targets established during project initiation.</w:t>
      </w:r>
    </w:p>
    <w:bookmarkEnd w:id="21"/>
    <w:bookmarkEnd w:id="22"/>
    <w:bookmarkStart w:id="24" w:name="strategic-alignment"/>
    <w:bookmarkStart w:id="23" w:name="strategic-alignment-regional-integration"/>
    <w:p>
      <w:pPr>
        <w:pStyle w:val="Heading2"/>
      </w:pPr>
      <w:r>
        <w:rPr>
          <w:bCs/>
          <w:b/>
        </w:rPr>
        <w:t xml:space="preserve">2. Strategic Alignment &amp; Regional Integration</w:t>
      </w:r>
    </w:p>
    <w:p>
      <w:pPr>
        <w:pStyle w:val="FirstParagraph"/>
      </w:pPr>
      <w:r>
        <w:t xml:space="preserve">A core function of this</w:t>
      </w:r>
      <w:r>
        <w:t xml:space="preserve"> </w:t>
      </w:r>
      <w:r>
        <w:t xml:space="preserve">Project Report</w:t>
      </w:r>
      <w:r>
        <w:t xml:space="preserve"> </w:t>
      </w:r>
      <w:r>
        <w:t xml:space="preserve">is to demonstrate how the initiative aligns with broader economic modernization goals prioritized by policymakers in</w:t>
      </w:r>
      <w:r>
        <w:t xml:space="preserve"> </w:t>
      </w:r>
      <w:r>
        <w:t xml:space="preserve">Uzbekistan Tashkent</w:t>
      </w:r>
      <w:r>
        <w:t xml:space="preserve">. The designated</w:t>
      </w:r>
      <w:r>
        <w:t xml:space="preserve"> </w:t>
      </w:r>
      <w:r>
        <w:t xml:space="preserve">Project Manager</w:t>
      </w:r>
      <w:r>
        <w:t xml:space="preserve"> </w:t>
      </w:r>
      <w:r>
        <w:t xml:space="preserve">has consistently adapted operational workflows to reflect local development priorities, including sustainable urban planning, technology transfer initiatives, and workforce upskilling programs. By embedding these regional objectives into daily execution routines, the project ensures long-term viability and community acceptance.</w:t>
      </w:r>
    </w:p>
    <w:p>
      <w:pPr>
        <w:pStyle w:val="BodyText"/>
      </w:pPr>
      <w:r>
        <w:t xml:space="preserve">The strategic framework documented in this report emphasizes collaborative governance models that empower municipal agencies, private enterprises, and academic institutions operating across</w:t>
      </w:r>
      <w:r>
        <w:t xml:space="preserve"> </w:t>
      </w:r>
      <w:r>
        <w:t xml:space="preserve">Uzbekistan Tashkent</w:t>
      </w:r>
      <w:r>
        <w:t xml:space="preserve">. The</w:t>
      </w:r>
      <w:r>
        <w:t xml:space="preserve"> </w:t>
      </w:r>
      <w:r>
        <w:t xml:space="preserve">Project Manager</w:t>
      </w:r>
      <w:r>
        <w:t xml:space="preserve"> </w:t>
      </w:r>
      <w:r>
        <w:t xml:space="preserve">leverages data-driven decision-making to synchronize project timelines with seasonal economic cycles, ensuring that procurement activities, construction milestones, and software deployment phases do not conflict with regional fiscal calendars or regulatory review periods.</w:t>
      </w:r>
    </w:p>
    <w:bookmarkEnd w:id="23"/>
    <w:bookmarkEnd w:id="24"/>
    <w:bookmarkStart w:id="26" w:name="manager-role-responsibilities"/>
    <w:bookmarkStart w:id="25" w:name="X968c7e80a2c64cd820ef9d94b7df54c76873f95"/>
    <w:p>
      <w:pPr>
        <w:pStyle w:val="Heading2"/>
      </w:pPr>
      <w:r>
        <w:rPr>
          <w:bCs/>
          <w:b/>
        </w:rPr>
        <w:t xml:space="preserve">3. Core Responsibilities &amp; Leadership Execution</w:t>
      </w:r>
    </w:p>
    <w:p>
      <w:pPr>
        <w:pStyle w:val="FirstParagraph"/>
      </w:pPr>
      <w:r>
        <w:t xml:space="preserve">The architectural integrity of any successful initiative depends heavily on the competencies documented within this</w:t>
      </w:r>
      <w:r>
        <w:t xml:space="preserve"> </w:t>
      </w:r>
      <w:r>
        <w:t xml:space="preserve">Project Report</w:t>
      </w:r>
      <w:r>
        <w:t xml:space="preserve">. The assigned</w:t>
      </w:r>
      <w:r>
        <w:t xml:space="preserve"> </w:t>
      </w:r>
      <w:r>
        <w:t xml:space="preserve">Project ManagerUzbekistan Tashkent</w:t>
      </w:r>
      <w:r>
        <w:t xml:space="preserve">, these responsibilities require heightened cultural intelligence and linguistic adaptability to ensure seamless coordination between international consultants and local implementation crews.</w:t>
      </w:r>
    </w:p>
    <w:p>
      <w:pPr>
        <w:pStyle w:val="BodyText"/>
      </w:pPr>
      <w:r>
        <w:t xml:space="preserve">To maintain rigorous oversight, the</w:t>
      </w:r>
      <w:r>
        <w:t xml:space="preserve"> </w:t>
      </w:r>
      <w:r>
        <w:t xml:space="preserve">Project ManagerProject Report</w:t>
      </w:r>
      <w:r>
        <w:t xml:space="preserve">. Each deliverable undergoes multi-tier verification before approval. Resource leveling techniques have been applied to prevent bottlenecks during peak demand periods in</w:t>
      </w:r>
      <w:r>
        <w:t xml:space="preserve"> </w:t>
      </w:r>
      <w:r>
        <w:t xml:space="preserve">Uzbekistan Tashkent</w:t>
      </w:r>
      <w:r>
        <w:t xml:space="preserve">, while contingency reserves are strategically positioned to absorb unforeseen market volatility without compromising overall project trajectory.</w:t>
      </w:r>
    </w:p>
    <w:bookmarkEnd w:id="25"/>
    <w:bookmarkEnd w:id="26"/>
    <w:bookmarkStart w:id="28" w:name="monitoring-framework"/>
    <w:bookmarkStart w:id="27" w:name="X2514c490d834424a7bc84b4d3f8991bd757af16"/>
    <w:p>
      <w:pPr>
        <w:pStyle w:val="Heading2"/>
      </w:pPr>
      <w:r>
        <w:rPr>
          <w:bCs/>
          <w:b/>
        </w:rPr>
        <w:t xml:space="preserve">4. Monitoring, Evaluation &amp; Performance Tracking</w:t>
      </w:r>
    </w:p>
    <w:p>
      <w:pPr>
        <w:pStyle w:val="FirstParagraph"/>
      </w:pPr>
      <w:r>
        <w:t xml:space="preserve">This section of the</w:t>
      </w:r>
      <w:r>
        <w:t xml:space="preserve"> </w:t>
      </w:r>
      <w:r>
        <w:t xml:space="preserve">Project ReportProject ManagerUzbekistan Tashkent</w:t>
      </w:r>
      <w:r>
        <w:t xml:space="preserve">.</w:t>
      </w:r>
    </w:p>
    <w:p>
      <w:pPr>
        <w:pStyle w:val="BodyText"/>
      </w:pPr>
      <w:r>
        <w:t xml:space="preserve">Metric</w:t>
      </w:r>
    </w:p>
    <w:bookmarkEnd w:id="27"/>
    <w:bookmarkEnd w:id="28"/>
    <w:p>
      <w:pPr>
        <w:pStyle w:val="BodyText"/>
      </w:pPr>
      <w:r>
        <w:t xml:space="preserve">Target</w:t>
      </w:r>
    </w:p>
    <w:p>
      <w:pPr>
        <w:pStyle w:val="BodyText"/>
      </w:pPr>
      <w:r>
        <w:t xml:space="preserve">Achieved (Q3-Q4)</w:t>
      </w:r>
    </w:p>
    <w:p>
      <w:pPr>
        <w:pStyle w:val="BodyText"/>
      </w:pPr>
      <w:r>
        <w:t xml:space="preserve">Status</w:t>
      </w:r>
    </w:p>
    <w:p>
      <w:pPr>
        <w:pStyle w:val="BodyText"/>
      </w:pPr>
      <w:r>
        <w:t xml:space="preserve">Schedule Variance (Days)</w:t>
      </w:r>
    </w:p>
    <w:p>
      <w:pPr>
        <w:pStyle w:val="BodyText"/>
      </w:pPr>
      <w:r>
        <w:t xml:space="preserve">-5 to +5</w:t>
      </w:r>
    </w:p>
    <w:p>
      <w:pPr>
        <w:pStyle w:val="BodyText"/>
      </w:pPr>
      <w:r>
        <w:t xml:space="preserve">+2.1 Days Ahead of Schedule</w:t>
      </w:r>
    </w:p>
    <w:p>
      <w:pPr>
        <w:pStyle w:val="BodyText"/>
      </w:pPr>
      <w:r>
        <w:t xml:space="preserve">Green / Exceeded Expectation</w:t>
      </w:r>
    </w:p>
    <w:p>
      <w:pPr>
        <w:pStyle w:val="BodyText"/>
      </w:pPr>
      <w:r>
        <w:t xml:space="preserve">Budget Utilization Rate (%)</w:t>
      </w:r>
    </w:p>
    <w:p>
      <w:pPr>
        <w:pStyle w:val="BodyText"/>
      </w:pPr>
      <w:r>
        <w:t xml:space="preserve">Metric</w:t>
      </w:r>
    </w:p>
    <w:p>
      <w:pPr>
        <w:pStyle w:val="BodyText"/>
      </w:pPr>
      <w:r>
        <w:t xml:space="preserve">Target</w:t>
      </w:r>
    </w:p>
    <w:p>
      <w:pPr>
        <w:pStyle w:val="BodyText"/>
      </w:pPr>
      <w:r>
        <w:t xml:space="preserve">Green / Optimized Spend</w:t>
      </w:r>
    </w:p>
    <w:p>
      <w:pPr>
        <w:pStyle w:val="BodyText"/>
      </w:pPr>
      <w:r>
        <w:t xml:space="preserve">Risk Exposure Index (0-10)&lt; 3.0</w:t>
      </w:r>
    </w:p>
    <w:p>
      <w:pPr>
        <w:pStyle w:val="BodyText"/>
      </w:pPr>
      <w:r>
        <w:t xml:space="preserve">Metric</w:t>
      </w:r>
    </w:p>
    <w:p>
      <w:pPr>
        <w:pStyle w:val="BodyText"/>
      </w:pPr>
      <w:r>
        <w:t xml:space="preserve">Target</w:t>
      </w:r>
    </w:p>
    <w:p>
      <w:pPr>
        <w:pStyle w:val="BodyText"/>
      </w:pPr>
      <w:r>
        <w:t xml:space="preserve">Green / Low Exposure</w:t>
      </w:r>
    </w:p>
    <w:p>
      <w:pPr>
        <w:pStyle w:val="BodyText"/>
      </w:pPr>
      <w:r>
        <w:t xml:space="preserve">Stakeholder Satisfaction (1-5)s</w:t>
      </w:r>
      <w:r>
        <w:t xml:space="preserve">Project Manager</w:t>
      </w:r>
    </w:p>
    <w:p>
      <w:pPr>
        <w:pStyle w:val="BodyText"/>
      </w:pPr>
      <w:r>
        <w:t xml:space="preserve">Green / High Confidence</w:t>
      </w:r>
    </w:p>
    <w:p>
      <w:pPr>
        <w:pStyle w:val="BodyText"/>
      </w:pPr>
      <w:r>
        <w:t xml:space="preserve">All indicators reflect a disciplined approach to continuous improvement, ensuring that this</w:t>
      </w:r>
    </w:p>
    <w:p>
      <w:pPr>
        <w:pStyle w:val="BodyText"/>
      </w:pPr>
      <w:r>
        <w:t xml:space="preserve">Project ReportProject Manager</w:t>
      </w:r>
    </w:p>
    <w:bookmarkStart w:id="30" w:name="stakeholder-engagement"/>
    <w:bookmarkStart w:id="29" w:name="X992e0bf14216839f942c35818ffcb485986f256"/>
    <w:p>
      <w:pPr>
        <w:pStyle w:val="Heading2"/>
      </w:pPr>
      <w:r>
        <w:rPr>
          <w:bCs/>
          <w:b/>
        </w:rPr>
        <w:t xml:space="preserve">5. Stakeholder Engagement &amp; Community Integration</w:t>
      </w:r>
    </w:p>
    <w:p>
      <w:pPr>
        <w:pStyle w:val="FirstParagraph"/>
      </w:pPr>
      <w:r>
        <w:t xml:space="preserve">Sustainable project delivery requires more than technical execution; it demands meaningful relationship-building and transparent communication channels. This portion of the</w:t>
      </w:r>
      <w:r>
        <w:t xml:space="preserve"> </w:t>
      </w:r>
      <w:r>
        <w:t xml:space="preserve">Project ReportProject Manager</w:t>
      </w:r>
      <w:r>
        <w:t xml:space="preserve"> </w:t>
      </w:r>
    </w:p>
    <w:p>
      <w:pPr>
        <w:pStyle w:val="BodyText"/>
      </w:pPr>
      <w:r>
        <w:t xml:space="preserve">The</w:t>
      </w:r>
    </w:p>
    <w:p>
      <w:pPr>
        <w:pStyle w:val="BodyText"/>
      </w:pPr>
      <w:r>
        <w:t xml:space="preserve">Project ManagerProject Report</w:t>
      </w:r>
    </w:p>
    <w:bookmarkEnd w:id="29"/>
    <w:bookmarkEnd w:id="30"/>
    <w:bookmarkStart w:id="32" w:name="risk-compliance"/>
    <w:bookmarkStart w:id="31" w:name="X9198b398e2c9f36cac6462147f3f475e2714777"/>
    <w:p>
      <w:pPr>
        <w:pStyle w:val="Heading2"/>
      </w:pPr>
      <w:r>
        <w:rPr>
          <w:bCs/>
          <w:b/>
        </w:rPr>
        <w:t xml:space="preserve">6. Risk Management, Compliance &amp; Regulatory Alignment</w:t>
      </w:r>
    </w:p>
    <w:p>
      <w:pPr>
        <w:pStyle w:val="FirstParagraph"/>
      </w:pPr>
      <w:r>
        <w:t xml:space="preserve">No enterprise initiative proceeds without encountering operational friction, market shifts, or regulatory reinterpretations. This segment of the</w:t>
      </w:r>
      <w:r>
        <w:t xml:space="preserve"> </w:t>
      </w:r>
      <w:r>
        <w:t xml:space="preserve">Project ReportProject Manager</w:t>
      </w:r>
      <w:r>
        <w:t xml:space="preserve"> </w:t>
      </w:r>
    </w:p>
    <w:p>
      <w:pPr>
        <w:pStyle w:val="BodyText"/>
      </w:pPr>
      <w:r>
        <w:t xml:space="preserve">To neutralize these threats, the</w:t>
      </w:r>
      <w:r>
        <w:t xml:space="preserve"> </w:t>
      </w:r>
      <w:r>
        <w:t xml:space="preserve">Project Manager</w:t>
      </w:r>
      <w:r>
        <w:t xml:space="preserve"> </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Project Manager Operations in Uzbekistan Tashkent</dc:title>
  <dc:creator/>
  <dc:language>en</dc:language>
  <cp:keywords/>
  <dcterms:created xsi:type="dcterms:W3CDTF">2026-07-29T09:56:17Z</dcterms:created>
  <dcterms:modified xsi:type="dcterms:W3CDTF">2026-07-29T09:56:17Z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