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Integration</w:t>
      </w:r>
      <w:r>
        <w:t xml:space="preserve"> </w:t>
      </w:r>
      <w:r>
        <w:t xml:space="preserve">in</w:t>
      </w:r>
      <w:r>
        <w:t xml:space="preserve"> </w:t>
      </w:r>
      <w:r>
        <w:t xml:space="preserve">Japan</w:t>
      </w:r>
      <w:r>
        <w:t xml:space="preserve"> </w:t>
      </w:r>
      <w:r>
        <w:t xml:space="preserve">Kyoto</w:t>
      </w:r>
    </w:p>
    <w:bookmarkStart w:id="28" w:name="X65265be03a906bab04a21481bec1119def5c743"/>
    <w:p>
      <w:pPr>
        <w:pStyle w:val="Heading1"/>
      </w:pPr>
      <w:r>
        <w:t xml:space="preserve">Project Report: Strategic Implementation of Social Worker Services in Japan Kyoto</w:t>
      </w:r>
    </w:p>
    <w:p>
      <w:pPr>
        <w:pStyle w:val="FirstParagraph"/>
      </w:pPr>
      <w:r>
        <w:rPr>
          <w:bCs/>
          <w:b/>
        </w:rPr>
        <w:t xml:space="preserve">Date:</w:t>
      </w:r>
      <w:r>
        <w:t xml:space="preserve"> </w:t>
      </w:r>
      <w:r>
        <w:t xml:space="preserve">October 26, 2023</w:t>
      </w:r>
      <w:r>
        <w:br/>
      </w:r>
      <w:r>
        <w:rPr>
          <w:bCs/>
          <w:b/>
        </w:rPr>
        <w:t xml:space="preserve">To:</w:t>
      </w:r>
      <w:r>
        <w:t xml:space="preserve">The Municipal Planning Committee, Kyoto City Government</w:t>
      </w:r>
      <w:r>
        <w:br/>
      </w:r>
    </w:p>
    <w:p>
      <w:pPr>
        <w:pStyle w:val="BodyText"/>
      </w:pPr>
      <w:r>
        <w:t xml:space="preserve">From:The Department of Social Welfare and Community Health</w:t>
      </w:r>
      <w:r>
        <w:br/>
      </w:r>
    </w:p>
    <w:p>
      <w:pPr>
        <w:pStyle w:val="BodyText"/>
      </w:pPr>
      <w:r>
        <w:t xml:space="preserve">Subject:A Comprehensive Framework for Enhancing Social Worker Capacity in Japan Kyoto</w:t>
      </w:r>
    </w:p>
    <w:bookmarkStart w:id="20" w:name="executive-summary"/>
    <w:p>
      <w:pPr>
        <w:pStyle w:val="Heading2"/>
      </w:pPr>
      <w:r>
        <w:t xml:space="preserve">1. Executive Summary</w:t>
      </w:r>
    </w:p>
    <w:p>
      <w:pPr>
        <w:pStyle w:val="FirstParagraph"/>
      </w:pPr>
      <w:r>
        <w:t xml:space="preserve">This project report outlines a strategic initiative to expand and modernize the role of the</w:t>
      </w:r>
      <w:r>
        <w:t xml:space="preserve"> </w:t>
      </w:r>
      <w:r>
        <w:rPr>
          <w:bCs/>
          <w:b/>
        </w:rPr>
        <w:t xml:space="preserve">Social Worker</w:t>
      </w:r>
      <w:r>
        <w:t xml:space="preserve"> </w:t>
      </w:r>
      <w:r>
        <w:t xml:space="preserve">within the unique cultural and demographic landscape of</w:t>
      </w:r>
      <w:r>
        <w:t xml:space="preserve"> </w:t>
      </w:r>
      <w:r>
        <w:rPr>
          <w:bCs/>
          <w:b/>
        </w:rPr>
        <w:t xml:space="preserve">Japankyoto</w:t>
      </w:r>
      <w:r>
        <w:t xml:space="preserve">. As Kyoto faces one of Japan's most rapidly aging populations alongside a surge in inbound tourism, traditional community support structures are under unprecedented strain. This document proposes a holistic model for integrating professional social work practices that respect local traditions while addressing contemporary challenges such as elder isolation, foreign resident integration, and the preservation of historical community bonds.</w:t>
      </w:r>
    </w:p>
    <w:bookmarkEnd w:id="20"/>
    <w:bookmarkStart w:id="21" w:name="X90121944b4bc0b152719e824e3a9ba0c5d74bf1"/>
    <w:p>
      <w:pPr>
        <w:pStyle w:val="Heading2"/>
      </w:pPr>
      <w:r>
        <w:t xml:space="preserve">2. Background and Context: The Unique Landscape of Japan Kyoto</w:t>
      </w:r>
    </w:p>
    <w:p>
      <w:pPr>
        <w:pStyle w:val="FirstParagraph"/>
      </w:pPr>
      <w:r>
        <w:rPr>
          <w:bCs/>
          <w:b/>
        </w:rPr>
        <w:t xml:space="preserve">Japankyoto</w:t>
      </w:r>
      <w:r>
        <w:t xml:space="preserve">, often referred to simply as Kyoto, stands as a city where deep-rooted history intersects with modern urban challenges. Unlike Tokyo or Osaka, which are characterized by transient populations and high-density commercial zones,</w:t>
      </w:r>
    </w:p>
    <w:p>
      <w:pPr>
        <w:pStyle w:val="BodyText"/>
      </w:pPr>
      <w:r>
        <w:t xml:space="preserve">Japan Kyoto retains a distinct neighborhood structure known as "Machi." These traditional communities have historically relied on informal networks of mutual aid. However, rapid depopulation in rural districts surrounding the city center and the intensification of tourism in central wards have disrupted these organic support systems.</w:t>
      </w:r>
    </w:p>
    <w:p>
      <w:pPr>
        <w:pStyle w:val="BodyText"/>
      </w:pPr>
      <w:r>
        <w:t xml:space="preserve">The demographic shift is critical. A significant portion of the population consists of elderly residents who wish to age in place but lack family caregivers due to shifting family structures toward nuclear families or complete childlessness. Simultaneously, the influx of international tourists and expatriates has created new social complexities that require specialized intervention strategies. In this context, the role of a</w:t>
      </w:r>
      <w:r>
        <w:t xml:space="preserve"> </w:t>
      </w:r>
      <w:r>
        <w:rPr>
          <w:bCs/>
          <w:b/>
        </w:rPr>
        <w:t xml:space="preserve">Social Worker</w:t>
      </w:r>
      <w:r>
        <w:t xml:space="preserve"> </w:t>
      </w:r>
      <w:r>
        <w:t xml:space="preserve">is not merely administrative but serves as a vital bridge between ancient communal values and modern welfare necessities.</w:t>
      </w:r>
    </w:p>
    <w:bookmarkEnd w:id="21"/>
    <w:bookmarkStart w:id="22" w:name="X3428559ef42ef4200122f592d49d981e3c81b5c"/>
    <w:p>
      <w:pPr>
        <w:pStyle w:val="Heading2"/>
      </w:pPr>
      <w:r>
        <w:t xml:space="preserve">3. Problem Statement: Gaps in Current Support Systems</w:t>
      </w:r>
    </w:p>
    <w:p>
      <w:pPr>
        <w:pStyle w:val="FirstParagraph"/>
      </w:pPr>
      <w:r>
        <w:t xml:space="preserve">The current infrastructure in</w:t>
      </w:r>
    </w:p>
    <w:p>
      <w:pPr>
        <w:pStyle w:val="BodyText"/>
      </w:pPr>
      <w:r>
        <w:t xml:space="preserve">Japan Kyoto, while robust, faces specific gaps that necessitate the enhanced deployment of a dedicated team of professional</w:t>
      </w:r>
      <w:r>
        <w:t xml:space="preserve"> </w:t>
      </w:r>
      <w:r>
        <w:rPr>
          <w:bCs/>
          <w:b/>
        </w:rPr>
        <w:t xml:space="preserve">Social Worker</w:t>
      </w:r>
      <w:r>
        <w:t xml:space="preserve">s:</w:t>
      </w:r>
    </w:p>
    <w:p>
      <w:pPr>
        <w:numPr>
          <w:ilvl w:val="0"/>
          <w:numId w:val="1001"/>
        </w:numPr>
        <w:pStyle w:val="Compact"/>
      </w:pPr>
      <w:r>
        <w:t xml:space="preserve">Social Isolation (Kodokushi):The phenomenon of lonely death remains a pressing concern, particularly in suburban areas where community vigilance is waning.</w:t>
      </w:r>
    </w:p>
    <w:p>
      <w:pPr>
        <w:numPr>
          <w:ilvl w:val="0"/>
          <w:numId w:val="1001"/>
        </w:numPr>
        <w:pStyle w:val="Compact"/>
      </w:pPr>
      <w:r>
        <w:t xml:space="preserve">Cultural and Linguistic Barriers:Newly arriving foreign residents often struggle to navigate the complex Japanese welfare system due to language barriers and differing cultural expectations regarding help-seeking behavior.</w:t>
      </w:r>
    </w:p>
    <w:p>
      <w:pPr>
        <w:numPr>
          <w:ilvl w:val="0"/>
          <w:numId w:val="1001"/>
        </w:numPr>
        <w:pStyle w:val="Compact"/>
      </w:pPr>
      <w:r>
        <w:t xml:space="preserve">Tourism Impact on Local Life:The rise of "Overtourism" has led to displacement concerns for long-term residents, increasing stress within communities that were already fragile.</w:t>
      </w:r>
    </w:p>
    <w:p>
      <w:pPr>
        <w:numPr>
          <w:ilvl w:val="0"/>
          <w:numId w:val="1001"/>
        </w:numPr>
        <w:pStyle w:val="Compact"/>
      </w:pPr>
      <w:r>
        <w:t xml:space="preserve">Inadequate Mental Health Support:There is a stigma associated with mental health issues in many traditional Japanese contexts, leading to under-diagnosis and lack of professional intervention.</w:t>
      </w:r>
    </w:p>
    <w:bookmarkEnd w:id="22"/>
    <w:bookmarkStart w:id="23" w:name="project-objectives"/>
    <w:p>
      <w:pPr>
        <w:pStyle w:val="Heading2"/>
      </w:pPr>
      <w:r>
        <w:t xml:space="preserve">4. Project Objectives</w:t>
      </w:r>
    </w:p>
    <w:p>
      <w:pPr>
        <w:pStyle w:val="FirstParagraph"/>
      </w:pPr>
      <w:r>
        <w:t xml:space="preserve">The primary objective of this project is to establish a sustainable framework for the professional practice of social work in</w:t>
      </w:r>
      <w:r>
        <w:t xml:space="preserve"> </w:t>
      </w:r>
      <w:r>
        <w:rPr>
          <w:bCs/>
          <w:b/>
        </w:rPr>
        <w:t xml:space="preserve">Japan Kyoto</w:t>
      </w:r>
      <w:r>
        <w:t xml:space="preserve">. Specific goals include:</w:t>
      </w:r>
    </w:p>
    <w:p>
      <w:pPr>
        <w:numPr>
          <w:ilvl w:val="0"/>
          <w:numId w:val="1002"/>
        </w:numPr>
        <w:pStyle w:val="Compact"/>
      </w:pPr>
      <w:r>
        <w:t xml:space="preserve">Deregulation and Standardization:To define clear roles for the</w:t>
      </w:r>
    </w:p>
    <w:p>
      <w:pPr>
        <w:numPr>
          <w:ilvl w:val="0"/>
          <w:numId w:val="1000"/>
        </w:numPr>
        <w:pStyle w:val="Compact"/>
      </w:pPr>
      <w:r>
        <w:t xml:space="preserve">Social Worker within municipal guidelines, ensuring ethical standards are met while allowing cultural sensitivity.</w:t>
      </w:r>
    </w:p>
    <w:p>
      <w:pPr>
        <w:numPr>
          <w:ilvl w:val="0"/>
          <w:numId w:val="1002"/>
        </w:numPr>
        <w:pStyle w:val="Compact"/>
      </w:pPr>
      <w:r>
        <w:t xml:space="preserve">Cultural Competency Training:To develop specialized curricula for social workers that combine Western social work theory with Japanese concepts of "Wa" (harmony) and community obligation.</w:t>
      </w:r>
    </w:p>
    <w:p>
      <w:pPr>
        <w:numPr>
          <w:ilvl w:val="0"/>
          <w:numId w:val="1002"/>
        </w:numPr>
        <w:pStyle w:val="Compact"/>
      </w:pPr>
      <w:r>
        <w:t xml:space="preserve">Digital Integration:To implement tele-social work platforms to reach isolated seniors in remote parts of the city.</w:t>
      </w:r>
    </w:p>
    <w:p>
      <w:pPr>
        <w:numPr>
          <w:ilvl w:val="0"/>
          <w:numId w:val="1002"/>
        </w:numPr>
        <w:pStyle w:val="Compact"/>
      </w:pPr>
      <w:r>
        <w:t xml:space="preserve">Multilingual Support Hubs:To create centers where a</w:t>
      </w:r>
      <w:r>
        <w:t xml:space="preserve"> </w:t>
      </w:r>
      <w:r>
        <w:rPr>
          <w:bCs/>
          <w:b/>
        </w:rPr>
        <w:t xml:space="preserve">Social Worker</w:t>
      </w:r>
      <w:r>
        <w:t xml:space="preserve"> </w:t>
      </w:r>
      <w:r>
        <w:t xml:space="preserve">can assist foreign residents with housing, employment, and healthcare access.</w:t>
      </w:r>
    </w:p>
    <w:bookmarkEnd w:id="23"/>
    <w:bookmarkStart w:id="25" w:name="Xafd8c326507753cc902ebb6cbafbd303de0d627"/>
    <w:p>
      <w:pPr>
        <w:pStyle w:val="Heading2"/>
      </w:pPr>
      <w:r>
        <w:t xml:space="preserve">5. Methodology: The Community-Integrated Model</w:t>
      </w:r>
    </w:p>
    <w:p>
      <w:pPr>
        <w:pStyle w:val="FirstParagraph"/>
      </w:pPr>
      <w:r>
        <w:t xml:space="preserve">The proposed model moves away from the institutionalized care seen in Western contexts and aligns with the communal fabric of</w:t>
      </w:r>
    </w:p>
    <w:p>
      <w:pPr>
        <w:pStyle w:val="BodyText"/>
      </w:pPr>
      <w:r>
        <w:t xml:space="preserve">Japan Kyoto. This is known as the "Machi-Yusoku" approach.</w:t>
      </w:r>
    </w:p>
    <w:bookmarkStart w:id="24" w:name="X017477d4dd25a6194425cc17e6eb6535803888e"/>
    <w:p>
      <w:pPr>
        <w:pStyle w:val="Heading3"/>
      </w:pPr>
      <w:r>
        <w:t xml:space="preserve">Key Component: The Neighborhood Social Worker</w:t>
      </w:r>
    </w:p>
    <w:p>
      <w:pPr>
        <w:pStyle w:val="FirstParagraph"/>
      </w:pPr>
      <w:r>
        <w:t xml:space="preserve">In this model, a designated</w:t>
      </w:r>
      <w:r>
        <w:t xml:space="preserve"> </w:t>
      </w:r>
      <w:r>
        <w:rPr>
          <w:bCs/>
          <w:b/>
        </w:rPr>
        <w:t xml:space="preserve">Social Worker</w:t>
      </w:r>
      <w:r>
        <w:t xml:space="preserve">, stationed within each ward (Ku), acts as the first point of contact. Instead of waiting for crises to occur, these professionals engage in proactive community building. They collaborate with local "Chonaikai" (neighborhood associations) to identify at-risk individuals before they become isolated. This approach leverages existing social capital while adding professional oversight.</w:t>
      </w:r>
    </w:p>
    <w:bookmarkEnd w:id="24"/>
    <w:p>
      <w:pPr>
        <w:pStyle w:val="BodyText"/>
      </w:pPr>
      <w:r>
        <w:t xml:space="preserve">Cross-Cultural Liaison:A unique aspect of this project for</w:t>
      </w:r>
    </w:p>
    <w:p>
      <w:pPr>
        <w:pStyle w:val="BodyText"/>
      </w:pPr>
      <w:r>
        <w:t xml:space="preserve">Japan Kyoto is the dual-track training system. Social workers will be trained not only in case management but also in cross-cultural communication. Given the city's status as a global cultural hub, a</w:t>
      </w:r>
    </w:p>
    <w:p>
      <w:pPr>
        <w:pStyle w:val="BodyText"/>
      </w:pPr>
      <w:r>
        <w:t xml:space="preserve">Social Worker, must be equipped to assist both traditional elderly Japanese citizens and newly arrived international families.</w:t>
      </w:r>
    </w:p>
    <w:bookmarkEnd w:id="25"/>
    <w:bookmarkStart w:id="26" w:name="implementation-phases"/>
    <w:p>
      <w:pPr>
        <w:pStyle w:val="Heading2"/>
      </w:pPr>
      <w:r>
        <w:t xml:space="preserve">6. Implementation Phases</w:t>
      </w:r>
    </w:p>
    <w:p>
      <w:pPr>
        <w:pStyle w:val="FirstParagraph"/>
      </w:pPr>
      <w:r>
        <w:t xml:space="preserve">Phase 1: Pilot Program (Months 1-6),</w:t>
      </w:r>
      <w:r>
        <w:br/>
      </w:r>
      <w:r>
        <w:t xml:space="preserve">The project will launch in three distinct wards representing different demographic profiles: Higashiyama (historical tourism hub), Ukyo (suburban aging district), and Nakagyo (high foreign resident concentration). Recruitment of specialized</w:t>
      </w:r>
    </w:p>
    <w:p>
      <w:pPr>
        <w:pStyle w:val="BodyText"/>
      </w:pPr>
      <w:r>
        <w:t xml:space="preserve">Social Workers will begin, focusing on candidates with experience in geriatric care and multilingual capabilities.</w:t>
      </w:r>
    </w:p>
    <w:p>
      <w:pPr>
        <w:pStyle w:val="BodyText"/>
      </w:pPr>
      <w:r>
        <w:t xml:space="preserve">Phase 2: Training and Protocol Development (Months 7-12),</w:t>
      </w:r>
      <w:r>
        <w:br/>
      </w:r>
      <w:r>
        <w:t xml:space="preserve">Pilot participants undergo intensive training focused on the specific legal frameworks of Japanese social welfare. Emphasis is placed on ethical confidentiality, which is paramount in close-knit communities where privacy concerns are high.</w:t>
      </w:r>
    </w:p>
    <w:p>
      <w:pPr>
        <w:pStyle w:val="BodyText"/>
      </w:pPr>
      <w:r>
        <w:t xml:space="preserve">Phase 3: City-Wide Rollout (Year 2),</w:t>
      </w:r>
      <w:r>
        <w:br/>
      </w:r>
      <w:r>
        <w:t xml:space="preserve">Data collected from the pilot phase will be used to refine protocols. The full deployment of the</w:t>
      </w:r>
    </w:p>
    <w:p>
      <w:pPr>
        <w:pStyle w:val="BodyText"/>
      </w:pPr>
      <w:r>
        <w:t xml:space="preserve">Social Worker, network will cover all eleven wards of Kyoto.</w:t>
      </w:r>
    </w:p>
    <w:bookmarkEnd w:id="26"/>
    <w:bookmarkStart w:id="27" w:name="budget-and-resource-allocation"/>
    <w:p>
      <w:pPr>
        <w:pStyle w:val="Heading2"/>
      </w:pPr>
      <w:r>
        <w:t xml:space="preserve">7. Budget and Resource Allocation</w:t>
      </w:r>
    </w:p>
    <w:p>
      <w:pPr>
        <w:pStyle w:val="FirstParagraph"/>
      </w:pPr>
      <w:r>
        <w:t xml:space="preserve">Funding for this initiative in</w:t>
      </w:r>
    </w:p>
    <w:p>
      <w:pPr>
        <w:pStyle w:val="BodyText"/>
      </w:pPr>
      <w:r>
        <w:t xml:space="preserve">Japan Kyoto, will be sourced from a combination of municipal budgets, national government subsidies for demographic countermeasures, and private sector partnerships with local insurance companies and tourism boards interested in community stability.</w:t>
      </w:r>
    </w:p>
    <w:p>
      <w:pPr>
        <w:pStyle w:val="BodyText"/>
      </w:pPr>
      <w:r>
        <w:t xml:space="preserve">Personnel Costs:, 60% (Salaries for qualified</w:t>
      </w:r>
    </w:p>
    <w:p>
      <w:pPr>
        <w:pStyle w:val="BodyText"/>
      </w:pPr>
      <w:r>
        <w:t xml:space="preserve">Social Workers).</w:t>
      </w:r>
    </w:p>
    <w:p>
      <w:pPr>
        <w:pStyle w:val="BodyText"/>
      </w:pPr>
      <w:r>
        <w:t xml:space="preserve">Training and Education:, 15%.</w:t>
      </w:r>
      <w:r>
        <w:br/>
      </w:r>
      <w:r>
        <w:t xml:space="preserve">&lt;li&gt;&lt;strong&gt;Technological Infrastructure:&lt;/strong&gt;, 15%..</w:t>
      </w:r>
    </w:p>
    <w:p>
      <w:pPr>
        <w:pStyle w:val="BodyText"/>
      </w:pPr>
      <w:r>
        <w:t xml:space="preserve">,</w:t>
      </w:r>
      <w:r>
        <w:br/>
      </w:r>
      <w:r>
        <w:t xml:space="preserve">&lt;p&gt;&amp;amp;amp;nbsp&lt;/p,&gt;&amp;amp;amp;nbsp</w:t>
      </w:r>
    </w:p>
    <w:p>
      <w:pPr>
        <w:pStyle w:val="BodyText"/>
      </w:pPr>
      <w:r>
        <w:t xml:space="preserve">,</w:t>
      </w:r>
      <w:r>
        <w:br/>
      </w:r>
      <w:r>
        <w:t xml:space="preserve">&lt;p,&gt;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Integration in Japan Kyoto</dc:title>
  <dc:creator/>
  <dc:language>en</dc:language>
  <cp:keywords/>
  <dcterms:created xsi:type="dcterms:W3CDTF">2026-07-29T13:00:40Z</dcterms:created>
  <dcterms:modified xsi:type="dcterms:W3CDTF">2026-07-29T13:00:40Z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