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30" w:name="project-report"/>
    <w:p>
      <w:pPr>
        <w:pStyle w:val="Heading1"/>
      </w:pPr>
      <w:r>
        <w:rPr>
          <w:bCs/>
          <w:b/>
        </w:rPr>
        <w:t xml:space="preserve">Project Report:</w:t>
      </w:r>
    </w:p>
    <w:p>
      <w:pPr>
        <w:pStyle w:val="FirstParagraph"/>
      </w:pPr>
      <w:r>
        <w:t xml:space="preserve">This document presents an in-depth analysis of the role, requirements, and implementation strategies for a</w:t>
      </w:r>
    </w:p>
    <w:p>
      <w:pPr>
        <w:pStyle w:val="BodyText"/>
      </w:pPr>
      <w:r>
        <w:rPr>
          <w:u w:val="single"/>
          <w:bCs/>
          <w:b/>
        </w:rPr>
        <w:t xml:space="preserve">"Special Education Teacher"</w:t>
      </w:r>
      <w:r>
        <w:t xml:space="preserve">, specifically tailored for deployment within</w:t>
      </w:r>
      <w:r>
        <w:t xml:space="preserve"> </w:t>
      </w:r>
      <w:r>
        <w:rPr>
          <w:iCs/>
          <w:i/>
        </w:rPr>
        <w:t xml:space="preserve">Brazil São Paulo</w:t>
      </w:r>
      <w:r>
        <w:t xml:space="preserve">.</w:t>
      </w:r>
    </w:p>
    <w:bookmarkStart w:id="20" w:name="introduction-and-context"/>
    <w:p>
      <w:pPr>
        <w:pStyle w:val="Heading2"/>
      </w:pPr>
      <w:r>
        <w:t xml:space="preserve">Introduction and Context</w:t>
      </w:r>
    </w:p>
    <w:p>
      <w:pPr>
        <w:pStyle w:val="FirstParagraph"/>
      </w:pPr>
      <w:r>
        <w:t xml:space="preserve">The integration of inclusive education is a cornerstone of modern pedagogical frameworks globally. In the context of</w:t>
      </w:r>
      <w:r>
        <w:t xml:space="preserve"> </w:t>
      </w:r>
      <w:hyperlink w:anchor="Xa39a3ee5e6b4b0d3255bfef95601890afd80709">
        <w:r>
          <w:rPr>
            <w:rStyle w:val="Hyperlink"/>
            <w:iCs/>
            <w:i/>
          </w:rPr>
          <w:t xml:space="preserve">Brazil São Paulo</w:t>
        </w:r>
      </w:hyperlink>
      <w:r>
        <w:rPr>
          <w:iCs/>
          <w:i/>
        </w:rPr>
        <w:t xml:space="preserve">,</w:t>
      </w:r>
      <w:r>
        <w:t xml:space="preserve">, this initiative aims to address the urgent need for qualified professionals who can support students with diverse learning needs within mainstream educational settings. The municipality and state of</w:t>
      </w:r>
      <w:r>
        <w:t xml:space="preserve"> </w:t>
      </w:r>
      <w:r>
        <w:rPr>
          <w:bCs/>
          <w:b/>
        </w:rPr>
        <w:t xml:space="preserve">Brazil São Paulo</w:t>
      </w:r>
      <w:r>
        <w:t xml:space="preserve"> </w:t>
      </w:r>
      <w:r>
        <w:t xml:space="preserve">have demonstrated a growing commitment to aligning their policies with international standards, yet significant gaps remain in the availability of specialized personnel. This project report outlines a comprehensive framework for recruiting, training, and deploying</w:t>
      </w:r>
      <w:r>
        <w:t xml:space="preserve"> </w:t>
      </w:r>
      <w:hyperlink w:anchor="Xa39a3ee5e6b4b0d3255bfef95601890afd80709">
        <w:r>
          <w:rPr>
            <w:rStyle w:val="Hyperlink"/>
            <w:iCs/>
            <w:i/>
          </w:rPr>
          <w:t xml:space="preserve">Special Education Teacher</w:t>
        </w:r>
      </w:hyperlink>
      <w:r>
        <w:t xml:space="preserve"> </w:t>
      </w:r>
      <w:r>
        <w:t xml:space="preserve">candidates across various districts in</w:t>
      </w:r>
      <w:r>
        <w:t xml:space="preserve"> </w:t>
      </w:r>
      <w:r>
        <w:rPr>
          <w:bCs/>
          <w:b/>
        </w:rPr>
        <w:t xml:space="preserve">Brazil São Paulo</w:t>
      </w:r>
      <w:r>
        <w:t xml:space="preserve">, ensuring equitable access to quality education for all learners.</w:t>
      </w:r>
    </w:p>
    <w:bookmarkEnd w:id="20"/>
    <w:bookmarkStart w:id="21" w:name="X7f35aad05aae5729d8f0ff0b018c2b490b04507"/>
    <w:p>
      <w:pPr>
        <w:pStyle w:val="Heading2"/>
      </w:pPr>
      <w:r>
        <w:t xml:space="preserve">The Role of the Special Education Teacher</w:t>
      </w:r>
    </w:p>
    <w:p>
      <w:pPr>
        <w:pStyle w:val="FirstParagraph"/>
      </w:pPr>
      <w:r>
        <w:t xml:space="preserve">The primary objective of this project is to define and enhance the role of the</w:t>
      </w:r>
      <w:r>
        <w:t xml:space="preserve"> </w:t>
      </w:r>
      <w:hyperlink w:anchor="Xa39a3ee5e6b4b0d3255bfef95601890afd80709">
        <w:r>
          <w:rPr>
            <w:rStyle w:val="Hyperlink"/>
            <w:iCs/>
            <w:i/>
          </w:rPr>
          <w:t xml:space="preserve">Special Education Teacher</w:t>
        </w:r>
      </w:hyperlink>
      <w:r>
        <w:t xml:space="preserve">. These professionals serve as critical bridges between students with disabilities, learning difficulties, or giftedness and the broader educational curriculum. Their responsibilities extend beyond traditional instruction; they include:</w:t>
      </w:r>
    </w:p>
    <w:p>
      <w:pPr>
        <w:numPr>
          <w:ilvl w:val="0"/>
          <w:numId w:val="1001"/>
        </w:numPr>
        <w:pStyle w:val="Compact"/>
      </w:pPr>
      <w:r>
        <w:rPr>
          <w:bCs/>
          <w:b/>
        </w:rPr>
        <w:t xml:space="preserve">Pedagogical Adaptation:</w:t>
      </w:r>
      <w:r>
        <w:t xml:space="preserve"> </w:t>
      </w:r>
      <w:r>
        <w:t xml:space="preserve">Modifying curricula and instructional materials to meet individualized needs.</w:t>
      </w:r>
    </w:p>
    <w:p>
      <w:pPr>
        <w:numPr>
          <w:ilvl w:val="0"/>
          <w:numId w:val="1001"/>
        </w:numPr>
        <w:pStyle w:val="Compact"/>
      </w:pPr>
      <w:r>
        <w:rPr>
          <w:bCs/>
          <w:b/>
        </w:rPr>
        <w:t xml:space="preserve">Social-Emotional Support:</w:t>
      </w:r>
      <w:r>
        <w:t xml:space="preserve">Fostering an inclusive classroom environment that promotes empathy, respect, and peer interaction.</w:t>
      </w:r>
    </w:p>
    <w:p>
      <w:pPr>
        <w:numPr>
          <w:ilvl w:val="0"/>
          <w:numId w:val="1001"/>
        </w:numPr>
        <w:pStyle w:val="Compact"/>
      </w:pPr>
      <w:r>
        <w:t xml:space="preserve">Cross-Sector Collaboration:.</w:t>
      </w:r>
    </w:p>
    <w:p>
      <w:pPr>
        <w:pStyle w:val="FirstParagraph"/>
      </w:pPr>
      <w:r>
        <w:t xml:space="preserve">In</w:t>
      </w:r>
      <w:r>
        <w:t xml:space="preserve"> </w:t>
      </w:r>
      <w:r>
        <w:rPr>
          <w:bCs/>
          <w:b/>
        </w:rPr>
        <w:t xml:space="preserve">Brazil São Paulo,</w:t>
      </w:r>
      <w:r>
        <w:t xml:space="preserve">, where urban density presents unique logistical challenges for student mobility and service provision, the flexibility of the</w:t>
      </w:r>
      <w:r>
        <w:t xml:space="preserve"> </w:t>
      </w:r>
      <w:hyperlink w:anchor="Xa39a3ee5e6b4b0d3255bfef95601890afd80709">
        <w:r>
          <w:rPr>
            <w:rStyle w:val="Hyperlink"/>
            <w:iCs/>
            <w:i/>
          </w:rPr>
          <w:t xml:space="preserve">Special Education Teacher</w:t>
        </w:r>
      </w:hyperlink>
      <w:r>
        <w:t xml:space="preserve"> </w:t>
      </w:r>
      <w:r>
        <w:t xml:space="preserve">is paramount. They must be adept at navigating both physical classrooms and virtual learning platforms to ensure continuity in education.</w:t>
      </w:r>
    </w:p>
    <w:bookmarkEnd w:id="21"/>
    <w:bookmarkStart w:id="22" w:name="X7a1950fb0d9886c880a5eb03fff0a191e45e676"/>
    <w:p>
      <w:pPr>
        <w:pStyle w:val="Heading2"/>
      </w:pPr>
      <w:r>
        <w:t xml:space="preserve">Educational Background and Certification Requirements</w:t>
      </w:r>
    </w:p>
    <w:p>
      <w:pPr>
        <w:pStyle w:val="FirstParagraph"/>
      </w:pPr>
      <w:r>
        <w:t xml:space="preserve">To maintain high standards of practice, all</w:t>
      </w:r>
      <w:r>
        <w:t xml:space="preserve"> </w:t>
      </w:r>
      <w:hyperlink w:anchor="Xa39a3ee5e6b4b0d3255bfef95601890afd80709">
        <w:r>
          <w:rPr>
            <w:rStyle w:val="Hyperlink"/>
            <w:iCs/>
            <w:i/>
          </w:rPr>
          <w:t xml:space="preserve">Special Education Teacher</w:t>
        </w:r>
      </w:hyperlink>
      <w:r>
        <w:t xml:space="preserve">s participating in this initiative within</w:t>
      </w:r>
      <w:r>
        <w:t xml:space="preserve"> </w:t>
      </w:r>
      <w:r>
        <w:rPr>
          <w:bCs/>
          <w:b/>
        </w:rPr>
        <w:t xml:space="preserve">Brazil São Paulo</w:t>
      </w:r>
      <w:r>
        <w:t xml:space="preserve"> </w:t>
      </w:r>
      <w:r>
        <w:t xml:space="preserve">must adhere to rigorous certification criteria. Prospective candidates are required to hold at minimum a Bachelor’s degree in Special Education or a related field (e.g., Psychology, Speech Therapy) with additional specialization coursework.</w:t>
      </w:r>
    </w:p>
    <w:p>
      <w:pPr>
        <w:pStyle w:val="BodyText"/>
      </w:pPr>
      <w:r>
        <w:t xml:space="preserve">The Brazilian Ministry of Education (MEC) guidelines mandate continuous professional development. Therefore, participants in this project must commit to ongoing workshops focused on:</w:t>
      </w:r>
    </w:p>
    <w:p>
      <w:pPr>
        <w:numPr>
          <w:ilvl w:val="0"/>
          <w:numId w:val="1002"/>
        </w:numPr>
        <w:pStyle w:val="Compact"/>
      </w:pPr>
      <w:r>
        <w:rPr>
          <w:bCs/>
          <w:b/>
        </w:rPr>
        <w:t xml:space="preserve">Inclusive Pedagogy:</w:t>
      </w:r>
    </w:p>
    <w:p>
      <w:pPr>
        <w:numPr>
          <w:ilvl w:val="0"/>
          <w:numId w:val="1002"/>
        </w:numPr>
        <w:pStyle w:val="Compact"/>
      </w:pPr>
      <w:r>
        <w:t xml:space="preserve">Multisensory Teaching Strategies.</w:t>
      </w:r>
    </w:p>
    <w:p>
      <w:pPr>
        <w:pStyle w:val="FirstParagraph"/>
      </w:pPr>
      <w:r>
        <w:t xml:space="preserve">Candidates must also demonstrate proficiency in Portuguese, the official language of instruction in</w:t>
      </w:r>
      <w:r>
        <w:t xml:space="preserve"> </w:t>
      </w:r>
      <w:r>
        <w:rPr>
          <w:bCs/>
          <w:b/>
        </w:rPr>
        <w:t xml:space="preserve">Brazil São Paulo</w:t>
      </w:r>
      <w:r>
        <w:t xml:space="preserve">, alongside a working knowledge of local dialects if applicable, to effectively communicate with families from diverse socioeconomic backgrounds.</w:t>
      </w:r>
    </w:p>
    <w:bookmarkEnd w:id="22"/>
    <w:bookmarkStart w:id="25" w:name="X0658db2084d21c21c1356ab7b73615099383455"/>
    <w:p>
      <w:pPr>
        <w:pStyle w:val="Heading2"/>
      </w:pPr>
      <w:r>
        <w:t xml:space="preserve">Implementation Strategy in Brazil São Paulo</w:t>
      </w:r>
    </w:p>
    <w:p>
      <w:pPr>
        <w:pStyle w:val="FirstParagraph"/>
      </w:pPr>
      <w:r>
        <w:t xml:space="preserve">The geographic and demographic diversity within</w:t>
      </w:r>
      <w:r>
        <w:t xml:space="preserve"> </w:t>
      </w:r>
      <w:r>
        <w:rPr>
          <w:bCs/>
          <w:b/>
        </w:rPr>
        <w:t xml:space="preserve">Brazil São Paulo</w:t>
      </w:r>
      <w:r>
        <w:t xml:space="preserve"> </w:t>
      </w:r>
      <w:r>
        <w:t xml:space="preserve">requires a nuanced approach to implementation. The city encompasses affluent neighborhoods alongside vast peripheral communities (periferias). Consequently, the deployment of</w:t>
      </w:r>
      <w:r>
        <w:t xml:space="preserve"> </w:t>
      </w:r>
      <w:hyperlink w:anchor="Xa39a3ee5e6b4b0d3255bfef95601890afd80709">
        <w:r>
          <w:rPr>
            <w:rStyle w:val="Hyperlink"/>
            <w:iCs/>
            <w:i/>
          </w:rPr>
          <w:t xml:space="preserve">Special Education Teacher</w:t>
        </w:r>
      </w:hyperlink>
      <w:r>
        <w:t xml:space="preserve">s will follow a tiered model:</w:t>
      </w:r>
    </w:p>
    <w:bookmarkStart w:id="23" w:name="tier-1-urban-core-integration"/>
    <w:p>
      <w:pPr>
        <w:pStyle w:val="Heading3"/>
      </w:pPr>
      <w:r>
        <w:t xml:space="preserve">Tier 1: Urban Core Integration</w:t>
      </w:r>
    </w:p>
    <w:p>
      <w:pPr>
        <w:pStyle w:val="FirstParagraph"/>
      </w:pPr>
      <w:r>
        <w:t xml:space="preserve">In central districts, the focus will be on resource rooms and co-teaching models. Here,</w:t>
      </w:r>
      <w:r>
        <w:t xml:space="preserve"> </w:t>
      </w:r>
      <w:hyperlink w:anchor="Xa39a3ee5e6b4b0d3255bfef95601890afd80709">
        <w:r>
          <w:rPr>
            <w:rStyle w:val="Hyperlink"/>
            <w:iCs/>
            <w:i/>
          </w:rPr>
          <w:t xml:space="preserve">Special Education Teacher</w:t>
        </w:r>
      </w:hyperlink>
      <w:r>
        <w:t xml:space="preserve">s will collaborate directly with general education teachers to provide real-time support during lessons.</w:t>
      </w:r>
    </w:p>
    <w:bookmarkEnd w:id="23"/>
    <w:bookmarkStart w:id="24" w:name="tier-2-peripheral-community-outreach"/>
    <w:p>
      <w:pPr>
        <w:pStyle w:val="Heading3"/>
      </w:pPr>
      <w:r>
        <w:t xml:space="preserve">Tier 2: Peripheral Community Outreach</w:t>
      </w:r>
    </w:p>
    <w:p>
      <w:pPr>
        <w:pStyle w:val="FirstParagraph"/>
      </w:pPr>
      <w:r>
        <w:t xml:space="preserve">In outlying areas of</w:t>
      </w:r>
      <w:r>
        <w:t xml:space="preserve"> </w:t>
      </w:r>
      <w:r>
        <w:rPr>
          <w:bCs/>
          <w:b/>
        </w:rPr>
        <w:t xml:space="preserve">Brazil São Paulo</w:t>
      </w:r>
      <w:r>
        <w:t xml:space="preserve">, the challenge is often one of access. The project will utilize mobile resource units staffed by itinerant</w:t>
      </w:r>
      <w:r>
        <w:t xml:space="preserve"> </w:t>
      </w:r>
      <w:hyperlink w:anchor="Xa39a3ee5e6b4b0d3255bfef95601890afd80709">
        <w:r>
          <w:rPr>
            <w:rStyle w:val="Hyperlink"/>
            <w:iCs/>
            <w:i/>
          </w:rPr>
          <w:t xml:space="preserve">Special Education Teacher</w:t>
        </w:r>
      </w:hyperlink>
      <w:r>
        <w:t xml:space="preserve">s who rotate between schools lacking permanent special education staff. This ensures that even remote communities receive specialized attention.</w:t>
      </w:r>
    </w:p>
    <w:bookmarkEnd w:id="24"/>
    <w:bookmarkEnd w:id="25"/>
    <w:bookmarkStart w:id="26" w:name="funding-and-sustainability"/>
    <w:p>
      <w:pPr>
        <w:pStyle w:val="Heading2"/>
      </w:pPr>
      <w:r>
        <w:t xml:space="preserve">Funding and Sustainability</w:t>
      </w:r>
    </w:p>
    <w:p>
      <w:pPr>
        <w:pStyle w:val="FirstParagraph"/>
      </w:pPr>
      <w:r>
        <w:t xml:space="preserve">Sustaining this initiative requires a multi-source funding model. Primary support will come from municipal budgets allocated for inclusive education, supplemented by grants from international organizations focused on human rights in education. Additionally, partnerships with private sector entities in</w:t>
      </w:r>
      <w:r>
        <w:t xml:space="preserve"> </w:t>
      </w:r>
      <w:r>
        <w:rPr>
          <w:bCs/>
          <w:b/>
        </w:rPr>
        <w:t xml:space="preserve">Brazil São Paulo</w:t>
      </w:r>
      <w:r>
        <w:t xml:space="preserve"> </w:t>
      </w:r>
      <w:r>
        <w:t xml:space="preserve">can provide technological resources and vocational training opportunities for older students.</w:t>
      </w:r>
    </w:p>
    <w:p>
      <w:pPr>
        <w:pStyle w:val="BodyText"/>
      </w:pPr>
      <w:r>
        <w:t xml:space="preserve">Economic sustainability is ensured through long-term employment contracts rather than short-term fixes. By establishing career ladders for</w:t>
      </w:r>
      <w:r>
        <w:t xml:space="preserve"> </w:t>
      </w:r>
      <w:hyperlink w:anchor="Xa39a3ee5e6b4b0d3255bfef95601890afd80709">
        <w:r>
          <w:rPr>
            <w:rStyle w:val="Hyperlink"/>
            <w:iCs/>
            <w:i/>
          </w:rPr>
          <w:t xml:space="preserve">Special Education Teacher</w:t>
        </w:r>
      </w:hyperlink>
      <w:r>
        <w:t xml:space="preserve">s, the project aims to reduce turnover rates and build institutional memory within school systems.</w:t>
      </w:r>
    </w:p>
    <w:bookmarkEnd w:id="26"/>
    <w:bookmarkStart w:id="27" w:name="challenges-and-mitigation-strategies"/>
    <w:p>
      <w:pPr>
        <w:pStyle w:val="Heading2"/>
      </w:pPr>
      <w:r>
        <w:t xml:space="preserve">Challenges and Mitigation Strategies</w:t>
      </w:r>
    </w:p>
    <w:p>
      <w:pPr>
        <w:pStyle w:val="FirstParagraph"/>
      </w:pPr>
      <w:r>
        <w:rPr>
          <w:bCs/>
          <w:b/>
        </w:rPr>
        <w:t xml:space="preserve">Brazil São Paulo</w:t>
      </w:r>
      <w:r>
        <w:t xml:space="preserve"> </w:t>
      </w:r>
      <w:r>
        <w:t xml:space="preserve">presents specific challenges, including bureaucratic hurdles in hiring processes and varying levels of infrastructure across schools. To mitigate these issues:</w:t>
      </w:r>
    </w:p>
    <w:p>
      <w:pPr>
        <w:numPr>
          <w:ilvl w:val="0"/>
          <w:numId w:val="1003"/>
        </w:numPr>
        <w:pStyle w:val="Compact"/>
      </w:pPr>
      <w:r>
        <w:rPr>
          <w:iCs/>
          <w:i/>
        </w:rPr>
        <w:t xml:space="preserve">Bureaucratic Streamlining: Implement a centralized digital portal for application tracking, managed jointly by municipal education secretaries.</w:t>
      </w:r>
    </w:p>
    <w:p>
      <w:pPr>
        <w:numPr>
          <w:ilvl w:val="0"/>
          <w:numId w:val="1003"/>
        </w:numPr>
        <w:pStyle w:val="Compact"/>
      </w:pPr>
      <w:r>
        <w:rPr>
          <w:bCs/>
          <w:b/>
        </w:rPr>
        <w:t xml:space="preserve">Infrastructure Upgrades: Allocate specific funds for accessibility renovations (ramps, sensory rooms) as part of the hiring package.</w:t>
      </w:r>
    </w:p>
    <w:p>
      <w:pPr>
        <w:numPr>
          <w:ilvl w:val="0"/>
          <w:numId w:val="1003"/>
        </w:numPr>
        <w:pStyle w:val="Compact"/>
      </w:pPr>
      <w:r>
        <w:rPr>
          <w:iCs/>
          <w:i/>
        </w:rPr>
        <w:t xml:space="preserve">Cultural Sensitivity Training: Mandate training on local cultural dynamics to ensure</w:t>
      </w:r>
      <w:r>
        <w:rPr>
          <w:iCs/>
          <w:i/>
        </w:rPr>
        <w:t xml:space="preserve"> </w:t>
      </w:r>
      <w:hyperlink w:anchor="Xa39a3ee5e6b4b0d3255bfef95601890afd80709">
        <w:r>
          <w:rPr>
            <w:rStyle w:val="Hyperlink"/>
            <w:iCs/>
            <w:i/>
          </w:rPr>
          <w:t xml:space="preserve">Special Education Teacher</w:t>
        </w:r>
      </w:hyperlink>
      <w:r>
        <w:rPr>
          <w:iCs/>
          <w:i/>
        </w:rPr>
        <w:t xml:space="preserve">s connect effectively with diverse student populations.</w:t>
      </w:r>
    </w:p>
    <w:bookmarkEnd w:id="27"/>
    <w:bookmarkStart w:id="28" w:name="Xffb311c9741052f1c84d6c0a38a9b848c58956b"/>
    <w:p>
      <w:pPr>
        <w:pStyle w:val="Heading2"/>
      </w:pPr>
      <w:r>
        <w:t xml:space="preserve">Evaluation Metrics and Success Indicators</w:t>
      </w:r>
    </w:p>
    <w:p>
      <w:pPr>
        <w:pStyle w:val="FirstParagraph"/>
      </w:pPr>
      <w:r>
        <w:t xml:space="preserve">Success will be measured using quantitative and qualitative metrics. Key performance indicators (KPIs) include:</w:t>
      </w:r>
    </w:p>
    <w:p>
      <w:pPr>
        <w:numPr>
          <w:ilvl w:val="0"/>
          <w:numId w:val="1004"/>
        </w:numPr>
        <w:pStyle w:val="Compact"/>
      </w:pPr>
      <w:r>
        <w:rPr>
          <w:bCs/>
          <w:b/>
        </w:rPr>
        <w:t xml:space="preserve">Student Academic Progress:</w:t>
      </w:r>
      <w:r>
        <w:t xml:space="preserve"> </w:t>
      </w:r>
      <w:r>
        <w:t xml:space="preserve">Gains in literacy, numeracy, and social skills among students supported by</w:t>
      </w:r>
      <w:r>
        <w:t xml:space="preserve"> </w:t>
      </w:r>
      <w:hyperlink w:anchor="Xa39a3ee5e6b4b0d3255bfef95601890afd80709">
        <w:r>
          <w:rPr>
            <w:rStyle w:val="Hyperlink"/>
            <w:iCs/>
            <w:i/>
          </w:rPr>
          <w:t xml:space="preserve">Special Education Teacher</w:t>
        </w:r>
      </w:hyperlink>
      <w:r>
        <w:t xml:space="preserve">s.</w:t>
      </w:r>
    </w:p>
    <w:p>
      <w:pPr>
        <w:numPr>
          <w:ilvl w:val="0"/>
          <w:numId w:val="1004"/>
        </w:numPr>
        <w:pStyle w:val="Compact"/>
      </w:pPr>
      <w:r>
        <w:t xml:space="preserve">**Teacher Satisfaction Rates:**Surveys conducted among</w:t>
      </w:r>
      <w:r>
        <w:t xml:space="preserve"> </w:t>
      </w:r>
      <w:hyperlink w:anchor="Xa39a3ee5e6b4b0d3255bfef95601890afd80709">
        <w:r>
          <w:rPr>
            <w:rStyle w:val="Hyperlink"/>
          </w:rPr>
          <w:t xml:space="preserve">Special Education Teacher</w:t>
        </w:r>
      </w:hyperlink>
      <w:r>
        <w:t xml:space="preserve">s regarding workload, support resources, and professional fulfillment.</w:t>
      </w:r>
    </w:p>
    <w:p>
      <w:pPr>
        <w:numPr>
          <w:ilvl w:val="0"/>
          <w:numId w:val="1004"/>
        </w:numPr>
        <w:pStyle w:val="Compact"/>
      </w:pPr>
      <w:r>
        <w:rPr>
          <w:bCs/>
          <w:b/>
        </w:rPr>
        <w:t xml:space="preserve">Parental Engagement:</w:t>
      </w:r>
      <w:r>
        <w:t xml:space="preserve"> </w:t>
      </w:r>
      <w:r>
        <w:t xml:space="preserve">Increase in parent participation in Individualized Education Program (IEP) meetings and school activities.</w:t>
      </w:r>
    </w:p>
    <w:p>
      <w:pPr>
        <w:pStyle w:val="FirstParagraph"/>
      </w:pPr>
      <w:r>
        <w:t xml:space="preserve">Data will be collected semi-annually by an independent evaluation team based in</w:t>
      </w:r>
      <w:r>
        <w:t xml:space="preserve"> </w:t>
      </w:r>
      <w:r>
        <w:rPr>
          <w:bCs/>
          <w:b/>
        </w:rPr>
        <w:t xml:space="preserve">Brazil São Paulo</w:t>
      </w:r>
      <w:r>
        <w:t xml:space="preserve">, ensuring transparency and accountability.</w:t>
      </w:r>
    </w:p>
    <w:bookmarkEnd w:id="28"/>
    <w:bookmarkStart w:id="29" w:name="conclusion"/>
    <w:p>
      <w:pPr>
        <w:pStyle w:val="Heading2"/>
      </w:pPr>
      <w:r>
        <w:t xml:space="preserve">Conclusion</w:t>
      </w:r>
    </w:p>
    <w:p>
      <w:pPr>
        <w:pStyle w:val="FirstParagraph"/>
      </w:pPr>
      <w:r>
        <w:t xml:space="preserve">The successful implementation of this project hinges on a steadfast commitment to inclusive principles. By strategically deploying qualified</w:t>
      </w:r>
      <w:r>
        <w:t xml:space="preserve"> </w:t>
      </w:r>
      <w:hyperlink w:anchor="Xa39a3ee5e6b4b0d3255bfef95601890afd80709">
        <w:r>
          <w:rPr>
            <w:rStyle w:val="Hyperlink"/>
            <w:iCs/>
            <w:i/>
          </w:rPr>
          <w:t xml:space="preserve">Special Education Teacher</w:t>
        </w:r>
      </w:hyperlink>
      <w:r>
        <w:t xml:space="preserve">s across the varied landscapes of</w:t>
      </w:r>
      <w:r>
        <w:t xml:space="preserve"> </w:t>
      </w:r>
      <w:r>
        <w:rPr>
          <w:bCs/>
          <w:b/>
        </w:rPr>
        <w:t xml:space="preserve">Brazil São Paulo,</w:t>
      </w:r>
      <w:r>
        <w:t xml:space="preserve">, we can transform educational outcomes for thousands of students. This initiative not only fulfills legal and ethical obligations but also enriches the entire school community by fostering a culture of acceptance and diversity.</w:t>
      </w:r>
    </w:p>
    <w:p>
      <w:pPr>
        <w:pStyle w:val="BodyText"/>
      </w:pPr>
      <w:r>
        <w:t xml:space="preserve">We urge stakeholders, policymakers, and educational leaders in</w:t>
      </w:r>
      <w:r>
        <w:t xml:space="preserve"> </w:t>
      </w:r>
      <w:r>
        <w:rPr>
          <w:bCs/>
          <w:b/>
        </w:rPr>
        <w:t xml:space="preserve">Brazil São Paulo</w:t>
      </w:r>
      <w:r>
        <w:t xml:space="preserve"> </w:t>
      </w:r>
      <w:r>
        <w:t xml:space="preserve">to support this vision. The investment in human capital through specialized teaching roles yields dividends far beyond the classroom, contributing to a more equitable and cohesive society. Let us work together to make inclusion a reality for every student.</w:t>
      </w:r>
    </w:p>
    <w:p>
      <w:pPr>
        <w:pStyle w:val="BodyText"/>
      </w:pPr>
      <w:r>
        <w:rPr>
          <w:iCs/>
          <w:i/>
        </w:rPr>
        <w:t xml:space="preserve">This document serves as a foundational blueprint for action. Further detailed operational manuals will be distributed upon approval of this strategic framework.</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 Brazil São Paulo</dc:title>
  <dc:creator/>
  <dc:language>en</dc:language>
  <cp:keywords/>
  <dcterms:created xsi:type="dcterms:W3CDTF">2026-07-29T18:24:32Z</dcterms:created>
  <dcterms:modified xsi:type="dcterms:W3CDTF">2026-07-29T18:24:32Z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