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Initiative</w:t>
      </w:r>
      <w:r>
        <w:t xml:space="preserve"> </w:t>
      </w:r>
      <w:r>
        <w:t xml:space="preserve">in</w:t>
      </w:r>
      <w:r>
        <w:t xml:space="preserve"> </w:t>
      </w:r>
      <w:r>
        <w:t xml:space="preserve">Japan</w:t>
      </w:r>
      <w:r>
        <w:t xml:space="preserve"> </w:t>
      </w:r>
      <w:r>
        <w:t xml:space="preserve">Kyoto</w:t>
      </w:r>
    </w:p>
    <w:bookmarkStart w:id="20" w:name="X1858979e58fcd10025ca53c76c2af935d60d9e5"/>
    <w:p>
      <w:pPr>
        <w:pStyle w:val="Heading1"/>
      </w:pPr>
      <w:r>
        <w:rPr>
          <w:iCs/>
          <w:i/>
          <w:bCs/>
          <w:b/>
        </w:rPr>
        <w:t xml:space="preserve">i&gt;i Project Report i&gt;</w:t>
      </w:r>
      <w:r>
        <w:t xml:space="preserve">: Statistical Integration and Analysis Framework in Japan Kyoto</w:t>
      </w:r>
    </w:p>
    <w:bookmarkEnd w:id="20"/>
    <w:bookmarkStart w:id="21" w:name="executive-summary"/>
    <w:p>
      <w:pPr>
        <w:pStyle w:val="FirstParagraph"/>
      </w:pPr>
      <w:r>
        <w:rPr>
          <w:iCs/>
          <w:i/>
          <w:bCs/>
          <w:b/>
        </w:rPr>
        <w:t xml:space="preserve">e&gt;X</w:t>
      </w:r>
      <w:r>
        <w:t xml:space="preserve">e</w:t>
      </w:r>
    </w:p>
    <w:p>
      <w:pPr>
        <w:pStyle w:val="BodyText"/>
      </w:pPr>
      <w:r>
        <w:t xml:space="preserve">cutive S</w:t>
      </w:r>
    </w:p>
    <w:p>
      <w:pPr>
        <w:pStyle w:val="BodyText"/>
      </w:pPr>
      <w:r>
        <w:t xml:space="preserve">Summary S</w:t>
      </w:r>
    </w:p>
    <w:p>
      <w:pPr>
        <w:pStyle w:val="BodyText"/>
      </w:pPr>
      <w:r>
        <w:t xml:space="preserve">Summary m&gt;</w:t>
      </w:r>
    </w:p>
    <w:p>
      <w:pPr>
        <w:pStyle w:val="BodyText"/>
      </w:pPr>
      <w:r>
        <w:t xml:space="preserve">&gt;: The Role of the Statistician in Japan Kyoto’s Development Strategy</w:t>
      </w:r>
    </w:p>
    <w:p>
      <w:pPr>
        <w:pStyle w:val="BodyText"/>
      </w:pPr>
      <w:r>
        <w:t xml:space="preserve">This comprehensive Project Report serves as a critical document outlining the strategic importance, operational framework, and societal impact of deploying dedicated</w:t>
      </w:r>
    </w:p>
    <w:p>
      <w:pPr>
        <w:pStyle w:val="BodyText"/>
      </w:pPr>
      <w:r>
        <w:t xml:space="preserve">s&gt;t</w:t>
      </w:r>
    </w:p>
    <w:p>
      <w:pPr>
        <w:pStyle w:val="BodyText"/>
      </w:pPr>
      <w:r>
        <w:t xml:space="preserve">i&gt;s</w:t>
      </w:r>
      <w:r>
        <w:rPr>
          <w:iCs/>
          <w:i/>
        </w:rPr>
        <w:t xml:space="preserve">t&gt;ic&gt;a&gt;n*i&gt;</w:t>
      </w:r>
      <w:r>
        <w:t xml:space="preserve">ian specialists within the context of modern urban planning and research in Japan Kyoto. As one of Japan’s most culturally significant cities, Japan Kyoto faces unique demographic shifts, tourism pressures, and environmental challenges that require robust data-driven decision-making. This report argues that the integration of a highly skilled Statistician is not merely an administrative addition but a foundational element for sustainable development in Japan Kyoto.</w:t>
      </w:r>
    </w:p>
    <w:p>
      <w:pPr>
        <w:pStyle w:val="BodyText"/>
      </w:pPr>
      <w:r>
        <w:t xml:space="preserve">The primary objective of this project is to establish a statistical infrastructure capable of addressing real-time issues ranging from population density management to heritage preservation metrics. By leveraging advanced statistical modeling, the Statistician will provide actionable insights that align with the unique cultural and geographic constraints of Japan Kyoto.</w:t>
      </w:r>
    </w:p>
    <w:bookmarkEnd w:id="21"/>
    <w:bookmarkStart w:id="50" w:name="background-and-context"/>
    <w:p>
      <w:pPr>
        <w:pStyle w:val="BodyText"/>
      </w:pPr>
      <w:r>
        <w:t xml:space="preserve">Ba</w:t>
      </w:r>
    </w:p>
    <w:p>
      <w:pPr>
        <w:pStyle w:val="BodyText"/>
      </w:pPr>
      <w:r>
        <w:t xml:space="preserve">c&gt;kr&gt;i&gt;s&gt;sti&gt;b&gt;an&gt;d a</w:t>
      </w:r>
    </w:p>
    <w:p>
      <w:pPr>
        <w:pStyle w:val="BodyText"/>
      </w:pPr>
      <w:r>
        <w:t xml:space="preserve">n&gt;d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Start w:id="22" w:name="demogra"/>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22"/>
    <w:bookmarkStart w:id="23" w:name="demogra-1"/>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23"/>
    <w:bookmarkStart w:id="24" w:name="demogra-2"/>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24"/>
    <w:bookmarkStart w:id="25" w:name="demogra-3"/>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25"/>
    <w:bookmarkStart w:id="26" w:name="demogra-4"/>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26"/>
    <w:bookmarkStart w:id="27" w:name="demogra-5"/>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27"/>
    <w:bookmarkStart w:id="28" w:name="demogra-6"/>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28"/>
    <w:bookmarkStart w:id="29" w:name="demogra-7"/>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29"/>
    <w:bookmarkStart w:id="30" w:name="demogra-8"/>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30"/>
    <w:bookmarkStart w:id="31" w:name="demogra-9"/>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31"/>
    <w:bookmarkStart w:id="32" w:name="demogra-10"/>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32"/>
    <w:bookmarkStart w:id="33" w:name="demogra-11"/>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33"/>
    <w:bookmarkStart w:id="34" w:name="demogra-12"/>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34"/>
    <w:bookmarkStart w:id="35" w:name="demogra-13"/>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35"/>
    <w:bookmarkStart w:id="36" w:name="demogra-14"/>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36"/>
    <w:bookmarkStart w:id="37" w:name="demogra-15"/>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37"/>
    <w:bookmarkStart w:id="38" w:name="demogra-16"/>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38"/>
    <w:bookmarkStart w:id="39" w:name="demogra-17"/>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39"/>
    <w:bookmarkStart w:id="40" w:name="demogra-18"/>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40"/>
    <w:bookmarkStart w:id="41" w:name="demogra-19"/>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41"/>
    <w:bookmarkStart w:id="42" w:name="demogra-20"/>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42"/>
    <w:bookmarkStart w:id="43" w:name="demogra-21"/>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43"/>
    <w:bookmarkStart w:id="44" w:name="demogra-22"/>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44"/>
    <w:bookmarkStart w:id="45" w:name="demogra-23"/>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45"/>
    <w:bookmarkStart w:id="46" w:name="demogra-24"/>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46"/>
    <w:bookmarkStart w:id="47" w:name="demogra-25"/>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47"/>
    <w:bookmarkStart w:id="48" w:name="demogra-26"/>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 For the Statistician operating in this environment, standard national datasets often fail to capture the granular realities of life in Japan Kyoto.</w:t>
      </w:r>
    </w:p>
    <w:bookmarkEnd w:id="48"/>
    <w:bookmarkStart w:id="49" w:name="demogra-27"/>
    <w:p>
      <w:pPr>
        <w:pStyle w:val="Heading3"/>
      </w:pPr>
      <w:r>
        <w:rPr>
          <w:iCs/>
          <w:i/>
          <w:bCs/>
          <w:b/>
        </w:rPr>
        <w:t xml:space="preserve">De</w:t>
      </w:r>
      <w:r>
        <w:rPr>
          <w:iCs/>
          <w:i/>
          <w:iCs/>
          <w:i/>
          <w:bCs/>
          <w:b/>
        </w:rPr>
        <w:t xml:space="preserve">m&lt;&gt;og&gt;r&gt;a</w:t>
      </w:r>
    </w:p>
    <w:p>
      <w:pPr>
        <w:pStyle w:val="FirstParagraph"/>
      </w:pPr>
      <w:r>
        <w:t xml:space="preserve">h</w:t>
      </w:r>
    </w:p>
    <w:p>
      <w:pPr>
        <w:pStyle w:val="BodyText"/>
      </w:pPr>
      <w:r>
        <w:t xml:space="preserve">c ad C&lt;&gt;ontext xx&gt;t&gt;&gt;: The Unique Landscape of Japan Kyoto</w:t>
      </w:r>
    </w:p>
    <w:p>
      <w:pPr>
        <w:pStyle w:val="BodyText"/>
      </w:pPr>
      <w:r>
        <w:t xml:space="preserve">Japan Kyoto is distinct from other major Japanese metropolitan areas such as Tokyo or Osaka. It is a city defined by its historical preservation, seasonal tourism spikes, and an aging population.</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Initiative in Japan Kyoto</dc:title>
  <dc:creator/>
  <dc:language>en</dc:language>
  <cp:keywords/>
  <dcterms:created xsi:type="dcterms:W3CDTF">2026-07-29T06:36:53Z</dcterms:created>
  <dcterms:modified xsi:type="dcterms:W3CDTF">2026-07-29T06:36:53Z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