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Service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1" w:name="X8c3aeeb32204cf771cf5450ede90104232b3a0e"/>
    <w:p>
      <w:pPr>
        <w:pStyle w:val="Heading1"/>
      </w:pPr>
      <w:r>
        <w:t xml:space="preserve">Project Report: Establishment of a Premium Tailor Service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Investment Committee</w:t>
      </w:r>
      <w:r>
        <w:br/>
      </w:r>
    </w:p>
    <w:p>
      <w:pPr>
        <w:pStyle w:val="BodyText"/>
      </w:pPr>
      <w:r>
        <w:t xml:space="preserve">From:</w:t>
      </w:r>
    </w:p>
    <w:bookmarkStart w:id="20" w:name="X60159ab6054cdbe5dc31eed4614c04f54dcddb6"/>
    <w:p>
      <w:pPr>
        <w:pStyle w:val="Heading1"/>
      </w:pPr>
      <w:r>
        <w:t xml:space="preserve">Project Report: Establishment of a Premium Tailor Service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Investment Committee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rPr>
          <w:iCs/>
          <w:i/>
        </w:rPr>
        <w:t xml:space="preserve">Panfilov District Business Development Team</w:t>
      </w:r>
      <w:r>
        <w:t xml:space="preserve">The following document outlines the strategic plan for launching a high-end bespoke Tailor service within the bustling urban center of Kazakhstan Almaty. As Kazakhstan continues to emerge as a prominent economic hub in Central Asia, the capital's largest city, Almaty, has witnessed a surge in disposable income and an evolving consumer appetite for personalized luxury goods. This report details the market analysis, operational strategy, financial projections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Tailor Service Initiative in Kazakhstan Almaty</dc:title>
  <dc:creator/>
  <dc:language>en</dc:language>
  <cp:keywords/>
  <dcterms:created xsi:type="dcterms:W3CDTF">2026-07-30T06:02:55Z</dcterms:created>
  <dcterms:modified xsi:type="dcterms:W3CDTF">2026-07-30T06:02:55Z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