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China</w:t>
      </w:r>
      <w:r>
        <w:t xml:space="preserve"> </w:t>
      </w:r>
      <w:r>
        <w:t xml:space="preserve">Guangzhou</w:t>
      </w:r>
    </w:p>
    <w:bookmarkStart w:id="20" w:name="Xa2ac32479a732db8e5720fa06f95484e49a93d0"/>
    <w:p>
      <w:pPr>
        <w:pStyle w:val="Heading1"/>
      </w:pPr>
      <w:r>
        <w:t xml:space="preserve">Comprehensive Project Report: Implementation of Teacher Primary Programs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Education Board and Stakeholders</w:t>
      </w:r>
      <w:r>
        <w:br/>
      </w:r>
      <w:r>
        <w:rPr>
          <w:bCs/>
          <w:b/>
        </w:rPr>
        <w:t xml:space="preserve">From:</w:t>
      </w:r>
      <w:r>
        <w:t xml:space="preserve"> </w:t>
      </w:r>
      <w:r>
        <w:t xml:space="preserve">Program Coordination Team</w:t>
      </w:r>
      <w:r>
        <w:br/>
      </w:r>
    </w:p>
    <w:p>
      <w:pPr>
        <w:pStyle w:val="BodyText"/>
      </w:pPr>
      <w:r>
        <w:t xml:space="preserve">Subject:</w:t>
      </w:r>
    </w:p>
    <w:p>
      <w:pPr>
        <w:pStyle w:val="BodyText"/>
      </w:pPr>
      <w:r>
        <w:t xml:space="preserve">Analytical Review of Pedagogical Integration for Teacher Primary Initiatives within the China Guangzhou Educational Landscape</w:t>
      </w:r>
    </w:p>
    <w:bookmarkEnd w:id="20"/>
    <w:bookmarkStart w:id="21" w:name="executive-summary"/>
    <w:p>
      <w:pPr>
        <w:pStyle w:val="Heading2"/>
      </w:pPr>
      <w:r>
        <w:t xml:space="preserve">1. Executive Summary</w:t>
      </w:r>
    </w:p>
    <w:p>
      <w:pPr>
        <w:pStyle w:val="FirstParagraph"/>
      </w:pPr>
      <w:r>
        <w:t xml:space="preserve">This document serves as a detailed analysis and strategic overview regarding the deployment and optimization of</w:t>
      </w:r>
      <w:r>
        <w:t xml:space="preserve"> </w:t>
      </w:r>
      <w:r>
        <w:rPr>
          <w:bCs/>
          <w:b/>
        </w:rPr>
        <w:t xml:space="preserve">Teacher Primary</w:t>
      </w:r>
      <w:r>
        <w:t xml:space="preserve"> </w:t>
      </w:r>
      <w:r>
        <w:t xml:space="preserve">educational frameworks specifically tailored for the dynamic environment of</w:t>
      </w:r>
      <w:r>
        <w:t xml:space="preserve"> </w:t>
      </w:r>
      <w:r>
        <w:rPr>
          <w:bCs/>
          <w:b/>
        </w:rPr>
        <w:t xml:space="preserve">China Guangzhou</w:t>
      </w:r>
      <w:r>
        <w:t xml:space="preserve">. As one of the most economically vibrant and culturally rich cities in Southern China, Guangzhou presents both unique opportunities and distinct challenges for primary education. This report outlines the critical necessity of adapting international teaching standards to local contexts, ensuring that every</w:t>
      </w:r>
    </w:p>
    <w:p>
      <w:pPr>
        <w:pStyle w:val="BodyText"/>
      </w:pPr>
      <w:r>
        <w:t xml:space="preserve">Teacher Primary</w:t>
      </w:r>
    </w:p>
    <w:p>
      <w:pPr>
        <w:pStyle w:val="BodyText"/>
      </w:pPr>
      <w:r>
        <w:t xml:space="preserve"> </w:t>
      </w:r>
      <w:r>
        <w:t xml:space="preserve">initiative contributes meaningfully to the academic and social development of students in this region.</w:t>
      </w:r>
    </w:p>
    <w:p>
      <w:pPr>
        <w:pStyle w:val="BodyText"/>
      </w:pPr>
      <w:r>
        <w:t xml:space="preserve">The core objective is to establish a sustainable model for primary education that respects local educational traditions while introducing innovative pedagogical methods. By focusing on the specific needs of</w:t>
      </w:r>
      <w:r>
        <w:t xml:space="preserve"> </w:t>
      </w:r>
      <w:r>
        <w:rPr>
          <w:bCs/>
          <w:b/>
        </w:rPr>
        <w:t xml:space="preserve">China Guangzhou</w:t>
      </w:r>
      <w:r>
        <w:t xml:space="preserve">, we aim to create a harmonious blend of global best practices and local relevance, ultimately enhancing the quality of education provided by our</w:t>
      </w:r>
    </w:p>
    <w:p>
      <w:pPr>
        <w:pStyle w:val="BodyText"/>
      </w:pPr>
      <w:r>
        <w:t xml:space="preserve">Teacher Primary</w:t>
      </w:r>
    </w:p>
    <w:p>
      <w:pPr>
        <w:pStyle w:val="BodyText"/>
      </w:pPr>
      <w:r>
        <w:t xml:space="preserve"> </w:t>
      </w:r>
      <w:r>
        <w:t xml:space="preserve">workforce.</w:t>
      </w:r>
    </w:p>
    <w:bookmarkEnd w:id="21"/>
    <w:bookmarkStart w:id="25" w:name="contextual-analysis"/>
    <w:bookmarkStart w:id="24" w:name="X65974b715e69e8860d2f5e26ec5e908b558bddb"/>
    <w:p>
      <w:pPr>
        <w:pStyle w:val="Heading2"/>
      </w:pPr>
      <w:r>
        <w:t xml:space="preserve">2. Contextual Analysis: The Landscape of Education in China Guangzhou</w:t>
      </w:r>
    </w:p>
    <w:p>
      <w:pPr>
        <w:pStyle w:val="FirstParagraph"/>
      </w:pPr>
      <w:r>
        <w:t xml:space="preserve">To effectively implement any educational program, one must first understand the environment in which it operates.</w:t>
      </w:r>
      <w:r>
        <w:t xml:space="preserve"> </w:t>
      </w:r>
      <w:r>
        <w:rPr>
          <w:bCs/>
          <w:b/>
        </w:rPr>
        <w:t xml:space="preserve">China Guangzhou</w:t>
      </w:r>
    </w:p>
    <w:p>
      <w:pPr>
        <w:pStyle w:val="BodyText"/>
      </w:pPr>
      <w:r>
        <w:t xml:space="preserve">is not merely a geographic location; it is a hub of innovation, commerce, and cultural exchange. The city boasts a diverse population ranging from local Cantonese-speaking families to expatriates and migrants from other parts of China. This diversity necessitates an educational approach that is inclusive yet culturally sensitive.</w:t>
      </w:r>
    </w:p>
    <w:p>
      <w:pPr>
        <w:pStyle w:val="BodyText"/>
      </w:pPr>
      <w:r>
        <w:t xml:space="preserve">In the realm of primary education within this region, parents hold high expectations for academic rigor combined with holistic development. The competitive nature of the Chinese education system means that students often face significant pressure. Therefore, a</w:t>
      </w:r>
    </w:p>
    <w:p>
      <w:pPr>
        <w:pStyle w:val="BodyText"/>
      </w:pPr>
      <w:r>
        <w:t xml:space="preserve">Teacher Primary</w:t>
      </w:r>
    </w:p>
    <w:p>
      <w:pPr>
        <w:pStyle w:val="BodyText"/>
      </w:pPr>
      <w:r>
        <w:t xml:space="preserve">curriculum must balance academic excellence with emotional well-being and creative expression.</w:t>
      </w:r>
    </w:p>
    <w:bookmarkStart w:id="22" w:name="cultural-nuances-in-guangzhou"/>
    <w:p>
      <w:pPr>
        <w:pStyle w:val="Heading3"/>
      </w:pPr>
      <w:r>
        <w:t xml:space="preserve">2.1 Cultural Nuances in Guangzhou</w:t>
      </w:r>
    </w:p>
    <w:p>
      <w:pPr>
        <w:pStyle w:val="FirstParagraph"/>
      </w:pPr>
      <w:r>
        <w:t xml:space="preserve">The culture of Guangzhou is deeply rooted in history, particularly through its role as a starting point of the Maritime Silk Road. This historical context influences modern societal values, emphasizing resilience, adaptability, and respect for authority. For educators working in this region, understanding these cultural underpinnings is crucial. A</w:t>
      </w:r>
    </w:p>
    <w:p>
      <w:pPr>
        <w:pStyle w:val="BodyText"/>
      </w:pPr>
      <w:r>
        <w:t xml:space="preserve">Teacher Primary</w:t>
      </w:r>
    </w:p>
    <w:p>
      <w:pPr>
        <w:pStyle w:val="BodyText"/>
      </w:pPr>
      <w:r>
        <w:t xml:space="preserve">approach that ignores the local cultural fabric risks alienation and inefficacy.</w:t>
      </w:r>
    </w:p>
    <w:bookmarkEnd w:id="22"/>
    <w:bookmarkStart w:id="23" w:name="X47ba123f81202e5aa851aeebbfa52f398c29e07"/>
    <w:p>
      <w:pPr>
        <w:pStyle w:val="Heading3"/>
      </w:pPr>
      <w:r>
        <w:t xml:space="preserve">2.2 Economic Factors and Educational Resources</w:t>
      </w:r>
    </w:p>
    <w:p>
      <w:pPr>
        <w:pStyle w:val="FirstParagraph"/>
      </w:pPr>
      <w:r>
        <w:t xml:space="preserve">Guangzhou's robust economy allows for substantial investment in educational infrastructure. However, resource distribution can vary between urban districts and suburban areas. Our project report highlights the need for equitable access to learning materials across all participating schools in</w:t>
      </w:r>
    </w:p>
    <w:p>
      <w:pPr>
        <w:pStyle w:val="BodyText"/>
      </w:pPr>
      <w:r>
        <w:t xml:space="preserve">China Guangzhou</w:t>
      </w:r>
    </w:p>
    <w:p>
      <w:pPr>
        <w:pStyle w:val="BodyText"/>
      </w:pPr>
      <w:r>
        <w:t xml:space="preserve">.</w:t>
      </w:r>
    </w:p>
    <w:bookmarkEnd w:id="23"/>
    <w:bookmarkEnd w:id="24"/>
    <w:bookmarkEnd w:id="25"/>
    <w:bookmarkStart w:id="29" w:name="teacher-primary-framework"/>
    <w:bookmarkStart w:id="28" w:name="the-teacher-primary-framework"/>
    <w:p>
      <w:pPr>
        <w:pStyle w:val="Heading2"/>
      </w:pPr>
      <w:r>
        <w:t xml:space="preserve">3. The Teacher Primary Framework</w:t>
      </w:r>
    </w:p>
    <w:p>
      <w:pPr>
        <w:pStyle w:val="FirstParagraph"/>
      </w:pPr>
      <w:r>
        <w:t xml:space="preserve">The concept of</w:t>
      </w:r>
      <w:r>
        <w:t xml:space="preserve"> </w:t>
      </w:r>
      <w:r>
        <w:rPr>
          <w:bCs/>
          <w:b/>
        </w:rPr>
        <w:t xml:space="preserve">Teacher Primary</w:t>
      </w:r>
    </w:p>
    <w:p>
      <w:pPr>
        <w:pStyle w:val="BodyText"/>
      </w:pPr>
      <w:r>
        <w:t xml:space="preserve">refers to a pedagogical model where the teacher is positioned not just as an instructor, but as a mentor, facilitator, and cultural bridge. In the context of international or bilingual schools in Guangzhou, this role is amplified.</w:t>
      </w:r>
    </w:p>
    <w:bookmarkStart w:id="26" w:name="pedagogical-adaptation"/>
    <w:p>
      <w:pPr>
        <w:pStyle w:val="Heading3"/>
      </w:pPr>
      <w:r>
        <w:t xml:space="preserve">3.1 Pedagogical Adaptation</w:t>
      </w:r>
    </w:p>
    <w:p>
      <w:pPr>
        <w:pStyle w:val="FirstParagraph"/>
      </w:pPr>
      <w:r>
        <w:t xml:space="preserve">A standard Western primary teaching model cannot be directly transplanted into</w:t>
      </w:r>
    </w:p>
    <w:p>
      <w:pPr>
        <w:pStyle w:val="BodyText"/>
      </w:pPr>
      <w:r>
        <w:t xml:space="preserve">China Guangzhou</w:t>
      </w:r>
    </w:p>
    <w:p>
      <w:pPr>
        <w:pStyle w:val="BodyText"/>
      </w:pPr>
      <w:r>
        <w:t xml:space="preserve">without modification. The</w:t>
      </w:r>
    </w:p>
    <w:p>
      <w:pPr>
        <w:pStyle w:val="BodyText"/>
      </w:pPr>
      <w:r>
        <w:t xml:space="preserve">Teacher Primary</w:t>
      </w:r>
    </w:p>
    <w:p>
      <w:pPr>
        <w:pStyle w:val="BodyText"/>
      </w:pPr>
      <w:r>
        <w:t xml:space="preserve">framework emphasizes adaptive pedagogy. This involves:</w:t>
      </w:r>
    </w:p>
    <w:p>
      <w:pPr>
        <w:numPr>
          <w:ilvl w:val="0"/>
          <w:numId w:val="1001"/>
        </w:numPr>
        <w:pStyle w:val="Compact"/>
      </w:pPr>
      <w:r>
        <w:rPr>
          <w:bCs/>
          <w:b/>
        </w:rPr>
        <w:t xml:space="preserve">Inquiry-Based Learning:</w:t>
      </w:r>
      <w:r>
        <w:t xml:space="preserve"> </w:t>
      </w:r>
      <w:r>
        <w:t xml:space="preserve">Encouraging critical thinking rather than rote memorization, which aligns with modern global standards but must be introduced gradually to suit local student habits.</w:t>
      </w:r>
    </w:p>
    <w:p>
      <w:pPr>
        <w:numPr>
          <w:ilvl w:val="0"/>
          <w:numId w:val="1001"/>
        </w:numPr>
        <w:pStyle w:val="Compact"/>
      </w:pPr>
      <w:r>
        <w:rPr>
          <w:iCs/>
          <w:i/>
        </w:rPr>
        <w:t xml:space="preserve">Cultural Integration:</w:t>
      </w:r>
    </w:p>
    <w:p>
      <w:pPr>
        <w:numPr>
          <w:ilvl w:val="0"/>
          <w:numId w:val="1000"/>
        </w:numPr>
        <w:pStyle w:val="Compact"/>
      </w:pPr>
      <w:r>
        <w:t xml:space="preserve">Incorporating local Cantonese stories, festivals, and historical figures into the curriculum to make learning relatable.</w:t>
      </w:r>
    </w:p>
    <w:p>
      <w:pPr>
        <w:numPr>
          <w:ilvl w:val="0"/>
          <w:numId w:val="1001"/>
        </w:numPr>
        <w:pStyle w:val="Compact"/>
      </w:pPr>
      <w:r>
        <w:rPr>
          <w:bCs/>
          <w:b/>
        </w:rPr>
        <w:t xml:space="preserve">Differentiated Instruction:</w:t>
      </w:r>
      <w:r>
        <w:t xml:space="preserve"> </w:t>
      </w:r>
      <w:r>
        <w:t xml:space="preserve">Recognizing that students in Guangzhou may have varying levels of English proficiency or prior educational exposure.</w:t>
      </w:r>
    </w:p>
    <w:bookmarkEnd w:id="26"/>
    <w:bookmarkStart w:id="27" w:name="professional-development-for-educators"/>
    <w:p>
      <w:pPr>
        <w:pStyle w:val="Heading3"/>
      </w:pPr>
      <w:r>
        <w:t xml:space="preserve">3.2 Professional Development for Educators</w:t>
      </w:r>
    </w:p>
    <w:p>
      <w:pPr>
        <w:pStyle w:val="FirstParagraph"/>
      </w:pPr>
      <w:r>
        <w:t xml:space="preserve">To support the</w:t>
      </w:r>
    </w:p>
    <w:p>
      <w:pPr>
        <w:pStyle w:val="BodyText"/>
      </w:pPr>
      <w:r>
        <w:t xml:space="preserve">Teacher Primary</w:t>
      </w:r>
    </w:p>
    <w:p>
      <w:pPr>
        <w:pStyle w:val="BodyText"/>
      </w:pPr>
      <w:r>
        <w:t xml:space="preserve">model, continuous professional development is essential. Teachers must undergo training that specifically addresses the challenges of teaching in</w:t>
      </w:r>
    </w:p>
    <w:p>
      <w:pPr>
        <w:pStyle w:val="BodyText"/>
      </w:pPr>
      <w:r>
        <w:t xml:space="preserve">China Guangzhou</w:t>
      </w:r>
    </w:p>
    <w:p>
      <w:pPr>
        <w:pStyle w:val="BodyText"/>
      </w:pPr>
      <w:r>
        <w:t xml:space="preserve">.</w:t>
      </w:r>
    </w:p>
    <w:p>
      <w:pPr>
        <w:numPr>
          <w:ilvl w:val="0"/>
          <w:numId w:val="1002"/>
        </w:numPr>
        <w:pStyle w:val="Compact"/>
      </w:pPr>
      <w:r>
        <w:rPr>
          <w:bCs/>
          <w:b/>
        </w:rPr>
        <w:t xml:space="preserve">Cultural Competency:</w:t>
      </w:r>
      <w:r>
        <w:t xml:space="preserve"> </w:t>
      </w:r>
      <w:r>
        <w:t xml:space="preserve">Training on local customs, communication styles, and parental engagement strategies typical in Guangdong province.</w:t>
      </w:r>
    </w:p>
    <w:p>
      <w:pPr>
        <w:numPr>
          <w:ilvl w:val="0"/>
          <w:numId w:val="1002"/>
        </w:numPr>
        <w:pStyle w:val="Compact"/>
      </w:pPr>
      <w:r>
        <w:rPr>
          <w:bCs/>
          <w:b/>
        </w:rPr>
        <w:t xml:space="preserve">Linguistic Support:</w:t>
      </w:r>
      <w:r>
        <w:t xml:space="preserve"> </w:t>
      </w:r>
      <w:r>
        <w:t xml:space="preserve">Basic Mandarin or Cantonese language skills are encouraged to facilitate better communication with students and non-English speaking parents.</w:t>
      </w:r>
    </w:p>
    <w:p>
      <w:pPr>
        <w:numPr>
          <w:ilvl w:val="0"/>
          <w:numId w:val="1002"/>
        </w:numPr>
        <w:pStyle w:val="Compact"/>
      </w:pPr>
      <w:r>
        <w:t xml:space="preserve">Tech Integration:</w:t>
      </w:r>
    </w:p>
    <w:p>
      <w:pPr>
        <w:numPr>
          <w:ilvl w:val="0"/>
          <w:numId w:val="1000"/>
        </w:numPr>
        <w:pStyle w:val="Compact"/>
      </w:pPr>
      <w:r>
        <w:t xml:space="preserve">Guangzhou is a tech-savvy city. Teachers must be proficient in using digital learning platforms that are popular in China, such as WeChat for parent communication and local educational apps.</w:t>
      </w:r>
    </w:p>
    <w:bookmarkEnd w:id="27"/>
    <w:bookmarkEnd w:id="28"/>
    <w:bookmarkEnd w:id="29"/>
    <w:bookmarkStart w:id="34" w:name="implementation-strategy"/>
    <w:bookmarkStart w:id="33" w:name="X190575e535247b8a27508606048e22e73ce3616"/>
    <w:p>
      <w:pPr>
        <w:pStyle w:val="Heading2"/>
      </w:pPr>
      <w:r>
        <w:t xml:space="preserve">4. Implementation Strategy in China Guangzhou</w:t>
      </w:r>
    </w:p>
    <w:p>
      <w:pPr>
        <w:pStyle w:val="FirstParagraph"/>
      </w:pPr>
      <w:r>
        <w:t xml:space="preserve">The successful rollout of the</w:t>
      </w:r>
    </w:p>
    <w:p>
      <w:pPr>
        <w:pStyle w:val="BodyText"/>
      </w:pPr>
      <w:r>
        <w:t xml:space="preserve">Teacher Primary</w:t>
      </w:r>
    </w:p>
    <w:p>
      <w:pPr>
        <w:pStyle w:val="BodyText"/>
      </w:pPr>
      <w:r>
        <w:t xml:space="preserve">program requires a phased approach tailored to the specific administrative and educational regulations of Guangzhou.</w:t>
      </w:r>
    </w:p>
    <w:bookmarkStart w:id="30" w:name="phase-1-stakeholder-engagement"/>
    <w:p>
      <w:pPr>
        <w:pStyle w:val="Heading3"/>
      </w:pPr>
      <w:r>
        <w:t xml:space="preserve">4.1 Phase 1: Stakeholder Engagement</w:t>
      </w:r>
    </w:p>
    <w:p>
      <w:pPr>
        <w:pStyle w:val="FirstParagraph"/>
      </w:pPr>
      <w:r>
        <w:t xml:space="preserve">The initial phase involves engaging with local education bureaus, school administrators, and parent committees in Guangzhou. Transparency is key to building trust. We must demonstrate how the</w:t>
      </w:r>
    </w:p>
    <w:p>
      <w:pPr>
        <w:pStyle w:val="BodyText"/>
      </w:pPr>
      <w:r>
        <w:t xml:space="preserve">Teacher Primary</w:t>
      </w:r>
    </w:p>
    <w:p>
      <w:pPr>
        <w:pStyle w:val="BodyText"/>
      </w:pPr>
      <w:r>
        <w:t xml:space="preserve">framework complements the national curriculum while enhancing global readiness for students.</w:t>
      </w:r>
    </w:p>
    <w:bookmarkEnd w:id="30"/>
    <w:bookmarkStart w:id="31" w:name="phase-2-pilot-programs"/>
    <w:p>
      <w:pPr>
        <w:pStyle w:val="Heading3"/>
      </w:pPr>
      <w:r>
        <w:t xml:space="preserve">4.2 Phase 2: Pilot Programs</w:t>
      </w:r>
    </w:p>
    <w:p>
      <w:pPr>
        <w:pStyle w:val="FirstParagraph"/>
      </w:pPr>
      <w:r>
        <w:t xml:space="preserve">We propose launching pilot programs in three distinct districts of Guangzhou to test the adaptability of the framework. These pilots will focus on:</w:t>
      </w:r>
    </w:p>
    <w:p>
      <w:pPr>
        <w:numPr>
          <w:ilvl w:val="0"/>
          <w:numId w:val="1003"/>
        </w:numPr>
        <w:pStyle w:val="Compact"/>
      </w:pPr>
      <w:r>
        <w:rPr>
          <w:bCs/>
          <w:b/>
        </w:rPr>
        <w:t xml:space="preserve">Pedagogical Effectiveness:</w:t>
      </w:r>
    </w:p>
    <w:p>
      <w:pPr>
        <w:numPr>
          <w:ilvl w:val="0"/>
          <w:numId w:val="1000"/>
        </w:numPr>
        <w:pStyle w:val="Compact"/>
      </w:pPr>
      <w:r>
        <w:t xml:space="preserve">Measuring student engagement and academic outcomes.</w:t>
      </w:r>
    </w:p>
    <w:p>
      <w:pPr>
        <w:numPr>
          <w:ilvl w:val="0"/>
          <w:numId w:val="1003"/>
        </w:numPr>
        <w:pStyle w:val="Compact"/>
      </w:pPr>
      <w:r>
        <w:rPr>
          <w:bCs/>
          <w:b/>
        </w:rPr>
        <w:t xml:space="preserve">Cultural Resonance:</w:t>
      </w:r>
    </w:p>
    <w:p>
      <w:pPr>
        <w:numPr>
          <w:ilvl w:val="0"/>
          <w:numId w:val="1000"/>
        </w:numPr>
        <w:pStyle w:val="Compact"/>
      </w:pPr>
      <w:r>
        <w:t xml:space="preserve">Gathering feedback from teachers and parents on the cultural appropriateness of the materials.</w:t>
      </w:r>
    </w:p>
    <w:p>
      <w:pPr>
        <w:numPr>
          <w:ilvl w:val="0"/>
          <w:numId w:val="1003"/>
        </w:numPr>
        <w:pStyle w:val="Compact"/>
      </w:pPr>
      <w:r>
        <w:t xml:space="preserve">Operational Feasibility:</w:t>
      </w:r>
    </w:p>
    <w:p>
      <w:pPr>
        <w:numPr>
          <w:ilvl w:val="0"/>
          <w:numId w:val="1000"/>
        </w:numPr>
        <w:pStyle w:val="Compact"/>
      </w:pPr>
      <w:r>
        <w:t xml:space="preserve">Assessing logistical challenges such as resource allocation and teacher workload.</w:t>
      </w:r>
    </w:p>
    <w:bookmarkEnd w:id="31"/>
    <w:bookmarkStart w:id="32" w:name="phase-3-full-scale-rollout"/>
    <w:p>
      <w:pPr>
        <w:pStyle w:val="Heading3"/>
      </w:pPr>
      <w:r>
        <w:t xml:space="preserve">4.3 Phase 3: Full-Scale Rollout</w:t>
      </w:r>
    </w:p>
    <w:p>
      <w:pPr>
        <w:pStyle w:val="FirstParagraph"/>
      </w:pPr>
      <w:r>
        <w:t xml:space="preserve">Based on feedback from the pilot phase, adjustments will be made before a full-scale implementation across all partner schools in</w:t>
      </w:r>
    </w:p>
    <w:p>
      <w:pPr>
        <w:pStyle w:val="BodyText"/>
      </w:pPr>
      <w:r>
        <w:t xml:space="preserve">China Guangzhou</w:t>
      </w:r>
    </w:p>
    <w:p>
      <w:pPr>
        <w:pStyle w:val="BodyText"/>
      </w:pPr>
      <w:r>
        <w:t xml:space="preserve">.</w:t>
      </w:r>
    </w:p>
    <w:bookmarkEnd w:id="32"/>
    <w:bookmarkEnd w:id="33"/>
    <w:bookmarkEnd w:id="34"/>
    <w:bookmarkStart w:id="36" w:name="challenges-and-mitigation"/>
    <w:bookmarkStart w:id="35" w:name="challenges-and-mitigation-strategies"/>
    <w:p>
      <w:pPr>
        <w:pStyle w:val="Heading2"/>
      </w:pPr>
      <w:r>
        <w:t xml:space="preserve">5. Challenges and Mitigation Strategies</w:t>
      </w:r>
    </w:p>
    <w:p>
      <w:pPr>
        <w:pStyle w:val="FirstParagraph"/>
      </w:pPr>
      <w:r>
        <w:t xml:space="preserve">Educational projects in international contexts inevitably face challenges. In the case of the</w:t>
      </w:r>
    </w:p>
    <w:p>
      <w:pPr>
        <w:pStyle w:val="BodyText"/>
      </w:pPr>
      <w:r>
        <w:t xml:space="preserve">Teacher Primary</w:t>
      </w:r>
    </w:p>
    <w:p>
      <w:pPr>
        <w:pStyle w:val="BodyText"/>
      </w:pPr>
      <w:r>
        <w:t xml:space="preserve">program in Guangzhou, we anticipate the following hurdles:</w:t>
      </w:r>
    </w:p>
    <w:p>
      <w:pPr>
        <w:numPr>
          <w:ilvl w:val="0"/>
          <w:numId w:val="1004"/>
        </w:numPr>
        <w:pStyle w:val="Compact"/>
      </w:pPr>
      <w:r>
        <w:rPr>
          <w:bCs/>
          <w:b/>
        </w:rPr>
        <w:t xml:space="preserve">Linguistic Barriers:</w:t>
      </w:r>
    </w:p>
    <w:p>
      <w:pPr>
        <w:numPr>
          <w:ilvl w:val="0"/>
          <w:numId w:val="1000"/>
        </w:numPr>
        <w:pStyle w:val="Compact"/>
      </w:pPr>
      <w:r>
        <w:t xml:space="preserve">Miscommunication between teachers and parents can lead to misunderstandings regarding student progress. Mitigation involves providing bilingual communication tools and regular translation services for major meetings.</w:t>
      </w:r>
    </w:p>
    <w:p>
      <w:pPr>
        <w:numPr>
          <w:ilvl w:val="0"/>
          <w:numId w:val="1004"/>
        </w:numPr>
        <w:pStyle w:val="Compact"/>
      </w:pPr>
      <w:r>
        <w:t xml:space="preserve">Cultural Misinterpretation:</w:t>
      </w:r>
    </w:p>
    <w:p>
      <w:pPr>
        <w:numPr>
          <w:ilvl w:val="0"/>
          <w:numId w:val="1000"/>
        </w:numPr>
        <w:pStyle w:val="Compact"/>
      </w:pPr>
      <w:r>
        <w:t xml:space="preserve">Western teaching methods may sometimes be perceived as too passive or lacking in discipline by traditional parents. Mitigation involves rigorous training for the</w:t>
      </w:r>
    </w:p>
    <w:p>
      <w:pPr>
        <w:numPr>
          <w:ilvl w:val="0"/>
          <w:numId w:val="1000"/>
        </w:numPr>
        <w:pStyle w:val="Compact"/>
      </w:pPr>
      <w:r>
        <w:t xml:space="preserve">Teacher Primary</w:t>
      </w:r>
    </w:p>
    <w:p>
      <w:pPr>
        <w:numPr>
          <w:ilvl w:val="0"/>
          <w:numId w:val="1000"/>
        </w:numPr>
        <w:pStyle w:val="Compact"/>
      </w:pPr>
      <w:r>
        <w:t xml:space="preserve">staff on how to communicate the value of student-centered learning.</w:t>
      </w:r>
    </w:p>
    <w:p>
      <w:pPr>
        <w:numPr>
          <w:ilvl w:val="0"/>
          <w:numId w:val="1004"/>
        </w:numPr>
        <w:pStyle w:val="Compact"/>
      </w:pPr>
      <w:r>
        <w:rPr>
          <w:bCs/>
          <w:b/>
        </w:rPr>
        <w:t xml:space="preserve">Bureaucratic Hurdles:</w:t>
      </w:r>
    </w:p>
    <w:p>
      <w:pPr>
        <w:numPr>
          <w:ilvl w:val="0"/>
          <w:numId w:val="1000"/>
        </w:numPr>
        <w:pStyle w:val="Compact"/>
      </w:pPr>
      <w:r>
        <w:t xml:space="preserve">Navigating the local regulatory environment requires patience and legal expertise. We will maintain close contact with local education authorities to ensure full compliance.</w:t>
      </w:r>
    </w:p>
    <w:bookmarkEnd w:id="35"/>
    <w:bookmarkEnd w:id="36"/>
    <w:bookmarkStart w:id="37" w:name="conclusion"/>
    <w:p>
      <w:pPr>
        <w:pStyle w:val="Heading2"/>
      </w:pPr>
      <w:r>
        <w:t xml:space="preserve">6. Conclusion</w:t>
      </w:r>
    </w:p>
    <w:p>
      <w:pPr>
        <w:pStyle w:val="FirstParagraph"/>
      </w:pPr>
      <w:r>
        <w:t xml:space="preserve">The integration of the</w:t>
      </w:r>
    </w:p>
    <w:p>
      <w:pPr>
        <w:pStyle w:val="BodyText"/>
      </w:pPr>
      <w:r>
        <w:t xml:space="preserve">Teacher Primary</w:t>
      </w:r>
    </w:p>
    <w:p>
      <w:pPr>
        <w:pStyle w:val="BodyText"/>
      </w:pPr>
      <w:r>
        <w:t xml:space="preserve">framework into the educational ecosystem of Guangzhou represents a significant opportunity to elevate primary education standards in the region. By respecting the unique cultural and economic landscape of</w:t>
      </w:r>
    </w:p>
    <w:p>
      <w:pPr>
        <w:pStyle w:val="BodyText"/>
      </w:pPr>
      <w:r>
        <w:t xml:space="preserve">China Guangzhou</w:t>
      </w:r>
    </w:p>
    <w:p>
      <w:pPr>
        <w:pStyle w:val="BodyText"/>
      </w:pPr>
      <w:r>
        <w:t xml:space="preserve">, and by empowering teachers with adaptive skills and cultural awareness, we can create a learning environment that is both globally competitive and locally relevant.</w:t>
      </w:r>
    </w:p>
    <w:p>
      <w:pPr>
        <w:pStyle w:val="BodyText"/>
      </w:pPr>
      <w:r>
        <w:t xml:space="preserve">This project report underscores the importance of a nuanced, respectful, and strategic approach to international education partnerships. The success of this initiative will not only benefit the students in Guangzhou but also serve as a model for similar educational projects across China and beyond. We are committed to working closely with all stakeholders to ensure that every aspect of the</w:t>
      </w:r>
    </w:p>
    <w:p>
      <w:pPr>
        <w:pStyle w:val="BodyText"/>
      </w:pPr>
      <w:r>
        <w:t xml:space="preserve">Teacher Primary</w:t>
      </w:r>
    </w:p>
    <w:p>
      <w:pPr>
        <w:pStyle w:val="BodyText"/>
      </w:pPr>
      <w:r>
        <w:t xml:space="preserve">program thrives within the vibrant context of</w:t>
      </w:r>
    </w:p>
    <w:p>
      <w:pPr>
        <w:pStyle w:val="BodyText"/>
      </w:pPr>
      <w:r>
        <w:t xml:space="preserve">China Guangzhou</w:t>
      </w:r>
    </w:p>
    <w:p>
      <w:pPr>
        <w:pStyle w:val="BodyText"/>
      </w:pPr>
      <w:r>
        <w:t xml:space="preserve">.</w:t>
      </w:r>
    </w:p>
    <w:bookmarkEnd w:id="37"/>
    <w:p>
      <w:pPr>
        <w:pStyle w:val="BodyText"/>
      </w:pPr>
      <w:r>
        <w:t xml:space="preserve">© 2023 Education Project Coordination Team. All rights reserved.</w:t>
      </w:r>
      <w:r>
        <w:br/>
      </w:r>
      <w:r>
        <w:t xml:space="preserve">This document is confidential and intended for authorized personnel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 China Guangzhou</dc:title>
  <dc:creator/>
  <dc:language>en</dc:language>
  <cp:keywords/>
  <dcterms:created xsi:type="dcterms:W3CDTF">2026-07-29T11:52:09Z</dcterms:created>
  <dcterms:modified xsi:type="dcterms:W3CDTF">2026-07-29T11:52:09Z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