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Egypt</w:t>
      </w:r>
      <w:r>
        <w:t xml:space="preserve"> </w:t>
      </w:r>
      <w:r>
        <w:t xml:space="preserve">Alexandria</w:t>
      </w:r>
    </w:p>
    <w:bookmarkStart w:id="24" w:name="Xee5c85f1477609c65068aec15d8d5dac5e2e2bb"/>
    <w:p>
      <w:pPr>
        <w:pStyle w:val="Heading1"/>
      </w:pPr>
      <w:r>
        <w:t xml:space="preserve">The Teacher Primary Project Report</w:t>
      </w:r>
      <w:r>
        <w:br/>
      </w:r>
      <w:r>
        <w:t xml:space="preserve">A Strategic Educational Initiative for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Early Education, Alexandria Governorate</w:t>
      </w:r>
      <w:r>
        <w:br/>
      </w:r>
      <w:r>
        <w:rPr>
          <w:bCs/>
          <w:b/>
        </w:rPr>
        <w:t xml:space="preserve">From:</w:t>
      </w:r>
      <w:r>
        <w:t xml:space="preserve"> </w:t>
      </w:r>
      <w:r>
        <w:t xml:space="preserve">Project Implementation Committee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the definitive</w:t>
      </w:r>
      <w:r>
        <w:t xml:space="preserve"> </w:t>
      </w:r>
      <w:r>
        <w:t xml:space="preserve">. The primary objective of this initiative is to revitalize elementary education by enhancing pedagogical skills, modernizing curriculum delivery, and fostering a supportive professional environment for educators across the governorate. After an extensive period of research, pilot testing, and stakeholder engagement in</w:t>
      </w:r>
      <w:r>
        <w:t xml:space="preserve"> </w:t>
      </w:r>
      <w:r>
        <w:rPr>
          <w:iCs/>
          <w:i/>
        </w:rPr>
        <w:t xml:space="preserve">Egypt Alexandria</w:t>
      </w:r>
      <w:r>
        <w:t xml:space="preserve">, it has become evident that targeted investment in human capital yields the highest return on educational equity. This report outlines the historical context, operational challenges faced within</w:t>
      </w:r>
      <w:r>
        <w:t xml:space="preserve"> </w:t>
      </w:r>
      <w:r>
        <w:rPr>
          <w:iCs/>
          <w:i/>
        </w:rPr>
        <w:t xml:space="preserve">Egypt Alexandria</w:t>
      </w:r>
      <w:r>
        <w:t xml:space="preserve">, proposed solutions for enhancing</w:t>
      </w:r>
      <w:r>
        <w:t xml:space="preserve"> </w:t>
      </w:r>
      <w:r>
        <w:rPr>
          <w:bCs/>
          <w:b/>
        </w:rPr>
        <w:t xml:space="preserve">Teacher Primary</w:t>
      </w:r>
      <w:r>
        <w:t xml:space="preserve"> </w:t>
      </w:r>
      <w:r>
        <w:t xml:space="preserve">efficacy, and a detailed implementation roadmap tailored specifically to the unique socio-cultural landscape of coastal Egypt.</w:t>
      </w:r>
    </w:p>
    <w:bookmarkEnd w:id="20"/>
    <w:bookmarkStart w:id="21" w:name="Xe65de8d48ccda2f788d07066f07297f644aaa73"/>
    <w:p>
      <w:pPr>
        <w:pStyle w:val="Heading2"/>
      </w:pPr>
      <w:r>
        <w:t xml:space="preserve">2. Contextual Background and Strategic Importance</w:t>
      </w:r>
    </w:p>
    <w:p>
      <w:pPr>
        <w:pStyle w:val="FirstParagraph"/>
      </w:pPr>
      <w:r>
        <w:t xml:space="preserve">The city of</w:t>
      </w:r>
      <w:r>
        <w:t xml:space="preserve"> </w:t>
      </w:r>
      <w:r>
        <w:rPr>
          <w:iCs/>
          <w:i/>
          <w:bCs/>
          <w:b/>
        </w:rPr>
        <w:t xml:space="preserve">Egypt Alexandria</w:t>
      </w:r>
      <w:r>
        <w:t xml:space="preserve">, often referred to as the "Bride of the Mediterranean," stands at a critical juncture in its educational evolution. As a historic hub of commerce, culture, and academia,</w:t>
      </w:r>
      <w:r>
        <w:t xml:space="preserve"> </w:t>
      </w:r>
      <w:r>
        <w:t xml:space="preserve"> </w:t>
      </w:r>
      <w:r>
        <w:t xml:space="preserve">possesses a diverse demographic profile that requires nuanced educational strategies. However, like many developing regions, it faces disparities in resource allocation and teacher competency levels between urban centers and peripheral districts.</w:t>
      </w:r>
    </w:p>
    <w:p>
      <w:pPr>
        <w:pStyle w:val="BodyText"/>
      </w:pPr>
      <w:r>
        <w:t xml:space="preserve">The concept of the</w:t>
      </w:r>
      <w:r>
        <w:t xml:space="preserve"> </w:t>
      </w:r>
      <w:r>
        <w:t xml:space="preserve"> </w:t>
      </w:r>
      <w:r>
        <w:t xml:space="preserve">is not merely about hiring staff; it is about cultivating a culture of excellence. In</w:t>
      </w:r>
      <w:r>
        <w:t xml:space="preserve"> </w:t>
      </w:r>
      <w:r>
        <w:rPr>
          <w:iCs/>
          <w:i/>
        </w:rPr>
        <w:t xml:space="preserve">Egypt Alexandria</w:t>
      </w:r>
      <w:r>
        <w:t xml:space="preserve">, where educational heritage meets modern economic demands, the quality of primary instruction directly correlates with future civic engagement and economic productivity. Therefore, upgrading the skills of every primary school teacher is a strategic imperative. The current landscape in</w:t>
      </w:r>
      <w:r>
        <w:t xml:space="preserve"> </w:t>
      </w:r>
      <w:r>
        <w:rPr>
          <w:iCs/>
          <w:i/>
        </w:rPr>
        <w:t xml:space="preserve">Egypt Alexandria</w:t>
      </w:r>
      <w:r>
        <w:t xml:space="preserve"> </w:t>
      </w:r>
      <w:r>
        <w:t xml:space="preserve">shows that while infrastructure has improved in recent years, the soft skills required for modern pedagogy—such as digital literacy, inclusive education techniques, and psychological support for students—remain areas needing significant intervention.</w:t>
      </w:r>
    </w:p>
    <w:bookmarkEnd w:id="21"/>
    <w:bookmarkStart w:id="22" w:name="X073190ff5ca6511148504527fd84eff1caa5a96"/>
    <w:p>
      <w:pPr>
        <w:pStyle w:val="Heading2"/>
      </w:pPr>
      <w:r>
        <w:t xml:space="preserve">3. Problem Statement: Challenges Facing Teacher Primary Development</w:t>
      </w:r>
    </w:p>
    <w:p>
      <w:pPr>
        <w:pStyle w:val="FirstParagraph"/>
      </w:pPr>
      <w:r>
        <w:t xml:space="preserve">An analysis of current educational standards in</w:t>
      </w:r>
      <w:r>
        <w:t xml:space="preserve"> </w:t>
      </w:r>
      <w:r>
        <w:t xml:space="preserve">,</w:t>
      </w:r>
      <w:r>
        <w:t xml:space="preserve">,,,</w:t>
      </w:r>
    </w:p>
    <w:p>
      <w:pPr>
        <w:pStyle w:val="BodyText"/>
      </w:pPr>
      <w:r>
        <w:t xml:space="preserve">A. Pedagogical Obsolescence</w:t>
      </w:r>
      <w:r>
        <w:br/>
      </w:r>
      <w:r>
        <w:br/>
      </w:r>
      <w:r>
        <w:t xml:space="preserve">The traditional method of rote memorization remains prevalent in many schools across</w:t>
      </w:r>
      <w:r>
        <w:t xml:space="preserve"> </w:t>
      </w:r>
      <w:r>
        <w:rPr>
          <w:iCs/>
          <w:i/>
        </w:rPr>
        <w:t xml:space="preserve">Egypt Alexandria</w:t>
      </w:r>
      <w:r>
        <w:t xml:space="preserve">. There is a critical need to shift towards student-centered learning models that encourage critical thinking and creativity. The current</w:t>
      </w:r>
      <w:r>
        <w:t xml:space="preserve"> </w:t>
      </w:r>
      <w:r>
        <w:t xml:space="preserve">,</w:t>
      </w:r>
      <w:r>
        <w:rPr>
          <w:bCs/>
          <w:b/>
        </w:rPr>
        <w:t xml:space="preserve">,</w:t>
      </w:r>
      <w:r>
        <w:t xml:space="preserve">,</w:t>
      </w:r>
    </w:p>
    <w:p>
      <w:pPr>
        <w:pStyle w:val="BodyText"/>
      </w:pPr>
      <w:r>
        <w:t xml:space="preserve">B. Resource Disparities</w:t>
      </w:r>
      <w:r>
        <w:br/>
      </w:r>
      <w:r>
        <w:br/>
      </w:r>
      <w:r>
        <w:t xml:space="preserve">While some private institutions in</w:t>
      </w:r>
      <w:r>
        <w:t xml:space="preserve"> </w:t>
      </w:r>
      <w:r>
        <w:rPr>
          <w:iCs/>
          <w:i/>
          <w:iCs/>
          <w:i/>
        </w:rPr>
        <w:t xml:space="preserve">Egypt Alexandria</w:t>
      </w:r>
      <w:r>
        <w:t xml:space="preserve"> </w:t>
      </w:r>
      <w:r>
        <w:t xml:space="preserve">have access to cutting-edge technology, public schools in the less affluent districts struggle with basic supplies. This disparity affects the morale and effectiveness of teachers who are often expected to perform miracles with limited resources.</w:t>
      </w:r>
    </w:p>
    <w:p>
      <w:pPr>
        <w:pStyle w:val="BodyText"/>
      </w:pPr>
      <w:r>
        <w:t xml:space="preserve">C. Professional Isolation</w:t>
      </w:r>
      <w:r>
        <w:br/>
      </w:r>
      <w:r>
        <w:br/>
      </w:r>
      <w:r>
        <w:t xml:space="preserve">Many educators in</w:t>
      </w:r>
    </w:p>
    <w:p>
      <w:pPr>
        <w:pStyle w:val="BodyText"/>
      </w:pPr>
      <w:r>
        <w:rPr>
          <w:bCs/>
          <w:b/>
        </w:rPr>
        <w:t xml:space="preserve">Egypt Alexandria</w:t>
      </w:r>
      <w:r>
        <w:t xml:space="preserve"> </w:t>
      </w:r>
      <w:r>
        <w:t xml:space="preserve">report feeling isolated in their professional development. There is a lack of structured communities of practice where primary teachers can share best practices, discuss challenges, and learn from one another effectively.</w:t>
      </w:r>
    </w:p>
    <w:bookmarkEnd w:id="22"/>
    <w:bookmarkStart w:id="23" w:name="project-objectives-and-core-pillars"/>
    <w:p>
      <w:pPr>
        <w:pStyle w:val="Heading2"/>
      </w:pPr>
      <w:r>
        <w:t xml:space="preserve">4. Project Objectives and Core Pillars</w:t>
      </w:r>
    </w:p>
    <w:p>
      <w:pPr>
        <w:pStyle w:val="FirstParagraph"/>
      </w:pPr>
      <w:r>
        <w:t xml:space="preserve">The</w:t>
      </w:r>
      <w:r>
        <w:t xml:space="preserve"> </w:t>
      </w:r>
      <w:r>
        <w:t xml:space="preserve">,</w:t>
      </w:r>
      <w:r>
        <w:br/>
      </w:r>
      <w:r>
        <w:br/>
      </w:r>
      <w:r>
        <w:t xml:space="preserve">The project is built upon three core pillars designed to address the specific needs of</w:t>
      </w:r>
      <w:r>
        <w:t xml:space="preserve"> </w:t>
      </w:r>
      <w:r>
        <w:rPr>
          <w:iCs/>
          <w:i/>
        </w:rPr>
        <w:t xml:space="preserve">Egypt Alexandria</w:t>
      </w:r>
      <w:r>
        <w:t xml:space="preserve">:</w:t>
      </w:r>
    </w:p>
    <w:p>
      <w:pPr>
        <w:pStyle w:val="BodyText"/>
      </w:pPr>
      <w:r>
        <w:rPr>
          <w:bCs/>
          <w:b/>
        </w:rPr>
        <w:t xml:space="preserve">Pedagogical Modernization:</w:t>
      </w:r>
      <w:r>
        <w:t xml:space="preserve"> </w:t>
      </w:r>
      <w:r>
        <w:t xml:space="preserve">Introducing interactive teaching methodologies, STEM integration, and digital literacy training. This ensures that every</w:t>
      </w:r>
      <w:r>
        <w:t xml:space="preserve"> </w:t>
      </w:r>
      <w:r>
        <w:rPr>
          <w:bCs/>
          <w:b/>
        </w:rPr>
        <w:t xml:space="preserve">,</w:t>
      </w:r>
      <w:r>
        <w:br/>
      </w:r>
      <w:r>
        <w:br/>
      </w:r>
      <w:r>
        <w:br/>
      </w:r>
      <w:r>
        <w:rPr>
          <w:bCs/>
          <w:b/>
        </w:rPr>
        <w:t xml:space="preserve">Second,</w:t>
      </w:r>
      <w:r>
        <w:br/>
      </w:r>
    </w:p>
    <w:p>
      <w:pPr>
        <w:numPr>
          <w:ilvl w:val="0"/>
          <w:numId w:val="1001"/>
        </w:numPr>
        <w:pStyle w:val="Compact"/>
      </w:pPr>
      <w:r>
        <w:rPr>
          <w:bCs/>
          <w:b/>
        </w:rPr>
        <w:t xml:space="preserve">Inclusive Education Framework:</w:t>
      </w:r>
      <w:r>
        <w:t xml:space="preserve"> </w:t>
      </w:r>
      <w:r>
        <w:t xml:space="preserve">Training teachers to support students with diverse learning needs, including those from marginalized backgrounds. This is crucial in the cosmopolitan setting of</w:t>
      </w:r>
      <w:r>
        <w:t xml:space="preserve"> </w:t>
      </w:r>
      <w:r>
        <w:rPr>
          <w:iCs/>
          <w:i/>
        </w:rPr>
        <w:t xml:space="preserve">Egypt Alexandria</w:t>
      </w:r>
      <w:r>
        <w:t xml:space="preserve">.</w:t>
      </w:r>
    </w:p>
    <w:p>
      <w:pPr>
        <w:numPr>
          <w:ilvl w:val="0"/>
          <w:numId w:val="1001"/>
        </w:numPr>
        <w:pStyle w:val="Compact"/>
      </w:pPr>
      <w:r>
        <w:rPr>
          <w:bCs/>
          <w:b/>
        </w:rPr>
        <w:t xml:space="preserve">Psychological Support Systems:</w:t>
      </w:r>
      <w:r>
        <w:t xml:space="preserve"> </w:t>
      </w:r>
      <w:r>
        <w:t xml:space="preserve">Equipping educators with skills to identify and address the mental health and emotional well-being of primary students.</w:t>
      </w:r>
    </w:p>
    <w:p>
      <w:pPr>
        <w:pStyle w:val="FirstParagraph"/>
      </w:pPr>
      <w:r>
        <w:br/>
      </w:r>
      <w:r>
        <w:t xml:space="preserve">Third,</w:t>
      </w:r>
      <w:r>
        <w:br/>
      </w:r>
    </w:p>
    <w:p>
      <w:pPr>
        <w:numPr>
          <w:ilvl w:val="0"/>
          <w:numId w:val="1002"/>
        </w:numPr>
        <w:pStyle w:val="Compact"/>
      </w:pPr>
      <w:r>
        <w:rPr>
          <w:bCs/>
          <w:b/>
        </w:rPr>
        <w:t xml:space="preserve">Digital Infrastructure Integration:</w:t>
      </w:r>
      <w:r>
        <w:t xml:space="preserve"> </w:t>
      </w:r>
      <w:r>
        <w:t xml:space="preserve">Providing tablets, smartboards, and reliable internet connectivity to facilitate the use of modern teaching tools.</w:t>
      </w:r>
    </w:p>
    <w:p>
      <w:pPr>
        <w:pStyle w:val="FirstParagraph"/>
      </w:pPr>
      <w:r>
        <w:br/>
      </w:r>
      <w:r>
        <w:t xml:space="preserve">Fourth,</w:t>
      </w:r>
      <w:r>
        <w:br/>
      </w:r>
    </w:p>
    <w:p>
      <w:pPr>
        <w:numPr>
          <w:ilvl w:val="0"/>
          <w:numId w:val="1003"/>
        </w:numPr>
        <w:pStyle w:val="Compact"/>
      </w:pPr>
      <w:r>
        <w:rPr>
          <w:bCs/>
          <w:b/>
        </w:rPr>
        <w:t xml:space="preserve">Community Engagement:</w:t>
      </w:r>
      <w:r>
        <w:t xml:space="preserve"> </w:t>
      </w:r>
      <w:r>
        <w:t xml:space="preserve">Establishing strong links between schools, parents, and local community leaders in</w:t>
      </w:r>
      <w:r>
        <w:t xml:space="preserve"> </w:t>
      </w:r>
      <w:r>
        <w:rPr>
          <w:iCs/>
          <w:i/>
        </w:rPr>
        <w:t xml:space="preserve">Egypt Alexandria</w:t>
      </w:r>
      <w:r>
        <w:t xml:space="preserve"> </w:t>
      </w:r>
      <w:r>
        <w:t xml:space="preserve">to create a supportive ecosystem for the child.</w:t>
      </w:r>
    </w:p>
    <w:p>
      <w:pPr>
        <w:pStyle w:val="FirstParagraph"/>
      </w:pPr>
      <w:r>
        <w:br/>
      </w:r>
      <w:r>
        <w:t xml:space="preserve">Fifth,</w:t>
      </w:r>
      <w:r>
        <w:br/>
      </w:r>
    </w:p>
    <w:p>
      <w:pPr>
        <w:numPr>
          <w:ilvl w:val="0"/>
          <w:numId w:val="1004"/>
        </w:numPr>
        <w:pStyle w:val="Compact"/>
      </w:pPr>
      <w:r>
        <w:rPr>
          <w:bCs/>
          <w:b/>
        </w:rPr>
        <w:t xml:space="preserve">Mentorship Programs:</w:t>
      </w:r>
      <w:r>
        <w:t xml:space="preserve"> </w:t>
      </w:r>
      <w:r>
        <w:t xml:space="preserve">Pairing experienced educators with novices to foster continuous improvement and professional growth.</w:t>
      </w:r>
    </w:p>
    <w:p>
      <w:pPr>
        <w:pStyle w:val="FirstParagraph"/>
      </w:pPr>
      <w:r>
        <w:br/>
      </w:r>
      <w:r>
        <w:t xml:space="preserve">Sixth,</w:t>
      </w:r>
      <w:r>
        <w:br/>
      </w:r>
    </w:p>
    <w:p>
      <w:pPr>
        <w:numPr>
          <w:ilvl w:val="0"/>
          <w:numId w:val="1005"/>
        </w:numPr>
        <w:pStyle w:val="Compact"/>
      </w:pPr>
      <w:r>
        <w:rPr>
          <w:bCs/>
          <w:b/>
        </w:rPr>
        <w:t xml:space="preserve">Data-Driven Decision Making:</w:t>
      </w:r>
      <w:r>
        <w:t xml:space="preserve"> </w:t>
      </w:r>
      <w:r>
        <w:t xml:space="preserve">Implementing assessment tools to monitor student progress and teacher performance, allowing for targeted interventions.</w:t>
      </w:r>
    </w:p>
    <w:p>
      <w:pPr>
        <w:pStyle w:val="FirstParagraph"/>
      </w:pPr>
      <w:r>
        <w:br/>
      </w:r>
      <w:r>
        <w:t xml:space="preserve">Seventh,</w:t>
      </w:r>
      <w:r>
        <w:br/>
      </w:r>
    </w:p>
    <w:p>
      <w:pPr>
        <w:numPr>
          <w:ilvl w:val="0"/>
          <w:numId w:val="1006"/>
        </w:numPr>
        <w:pStyle w:val="Compact"/>
      </w:pPr>
      <w:r>
        <w:rPr>
          <w:bCs/>
          <w:b/>
        </w:rPr>
        <w:t xml:space="preserve">Cultural Relevance:</w:t>
      </w:r>
      <w:r>
        <w:t xml:space="preserve"> </w:t>
      </w:r>
      <w:r>
        <w:t xml:space="preserve">Ensuring that curriculum materials are culturally relevant to the students of</w:t>
      </w:r>
      <w:r>
        <w:t xml:space="preserve"> </w:t>
      </w:r>
      <w:r>
        <w:rPr>
          <w:iCs/>
          <w:i/>
        </w:rPr>
        <w:t xml:space="preserve">Egypt Alexandria</w:t>
      </w:r>
      <w:r>
        <w:t xml:space="preserve">, preserving local heritage while promoting global competencies.</w:t>
      </w:r>
    </w:p>
    <w:p>
      <w:pPr>
        <w:pStyle w:val="FirstParagraph"/>
      </w:pPr>
      <w:r>
        <w:br/>
      </w:r>
      <w:r>
        <w:t xml:space="preserve">Eighth,</w:t>
      </w:r>
      <w:r>
        <w:br/>
      </w:r>
    </w:p>
    <w:p>
      <w:pPr>
        <w:numPr>
          <w:ilvl w:val="0"/>
          <w:numId w:val="1007"/>
        </w:numPr>
        <w:pStyle w:val="Compact"/>
      </w:pPr>
      <w:r>
        <w:rPr>
          <w:bCs/>
          <w:b/>
        </w:rPr>
        <w:t xml:space="preserve">Sustainability Planning:</w:t>
      </w:r>
      <w:r>
        <w:t xml:space="preserve"> </w:t>
      </w:r>
      <w:r>
        <w:t xml:space="preserve">Developing a long-term strategy for funding and maintaining the project beyond initial implementation phases.</w:t>
      </w:r>
    </w:p>
    <w:p>
      <w:pPr>
        <w:pStyle w:val="FirstParagraph"/>
      </w:pPr>
      <w:r>
        <w:br/>
      </w:r>
      <w:r>
        <w:t xml:space="preserve">Ninth,</w:t>
      </w:r>
      <w:r>
        <w:br/>
      </w:r>
    </w:p>
    <w:p>
      <w:pPr>
        <w:numPr>
          <w:ilvl w:val="0"/>
          <w:numId w:val="1008"/>
        </w:numPr>
        <w:pStyle w:val="Compact"/>
      </w:pPr>
      <w:r>
        <w:rPr>
          <w:bCs/>
          <w:b/>
        </w:rPr>
        <w:t xml:space="preserve">Evaluation and Feedback Loops:</w:t>
      </w:r>
      <w:r>
        <w:t xml:space="preserve"> </w:t>
      </w:r>
      <w:r>
        <w:t xml:space="preserve">Creating mechanisms for continuous feedback from teachers, students, and parents to refine the program.</w:t>
      </w:r>
    </w:p>
    <w:p>
      <w:pPr>
        <w:pStyle w:val="FirstParagraph"/>
      </w:pPr>
      <w:r>
        <w:br/>
      </w:r>
      <w:r>
        <w:t xml:space="preserve">Tenth,</w:t>
      </w:r>
      <w:r>
        <w:br/>
      </w:r>
    </w:p>
    <w:p>
      <w:pPr>
        <w:numPr>
          <w:ilvl w:val="0"/>
          <w:numId w:val="1009"/>
        </w:numPr>
        <w:pStyle w:val="Compact"/>
      </w:pPr>
      <w:r>
        <w:rPr>
          <w:bCs/>
          <w:b/>
        </w:rPr>
        <w:t xml:space="preserve">Policy Advocacy:</w:t>
      </w:r>
      <w:r>
        <w:t xml:space="preserve"> </w:t>
      </w:r>
      <w:r>
        <w:t xml:space="preserve">Working with local authorities in</w:t>
      </w:r>
      <w:r>
        <w:t xml:space="preserve"> </w:t>
      </w:r>
      <w:r>
        <w:rPr>
          <w:iCs/>
          <w:i/>
        </w:rPr>
        <w:t xml:space="preserve">Egypt Alexandria</w:t>
      </w:r>
      <w:r>
        <w:t xml:space="preserve"> </w:t>
      </w:r>
      <w:r>
        <w:t xml:space="preserve">to align the project outcomes with national education policies and reforms.</w:t>
      </w:r>
    </w:p>
    <w:p>
      <w:pPr>
        <w:pStyle w:val="FirstParagraph"/>
      </w:pPr>
      <w:r>
        <w:br/>
      </w:r>
      <w:r>
        <w:t xml:space="preserve">Eleventh,</w:t>
      </w:r>
      <w:r>
        <w:br/>
      </w:r>
    </w:p>
    <w:p>
      <w:pPr>
        <w:numPr>
          <w:ilvl w:val="0"/>
          <w:numId w:val="1010"/>
        </w:numPr>
        <w:pStyle w:val="Compact"/>
      </w:pPr>
      <w:r>
        <w:rPr>
          <w:bCs/>
          <w:b/>
        </w:rPr>
        <w:t xml:space="preserve">Teacher Well-being:</w:t>
      </w:r>
      <w:r>
        <w:t xml:space="preserve"> </w:t>
      </w:r>
      <w:r>
        <w:t xml:space="preserve">Implementing programs to reduce burnout and promote work-life balance among primary educators.</w:t>
      </w:r>
    </w:p>
    <w:p>
      <w:pPr>
        <w:pStyle w:val="FirstParagraph"/>
      </w:pPr>
      <w:r>
        <w:br/>
      </w:r>
      <w:r>
        <w:t xml:space="preserve">Twelfth,</w:t>
      </w:r>
      <w:r>
        <w:br/>
      </w:r>
    </w:p>
    <w:p>
      <w:pPr>
        <w:numPr>
          <w:ilvl w:val="0"/>
          <w:numId w:val="1011"/>
        </w:numPr>
        <w:pStyle w:val="Compact"/>
      </w:pPr>
      <w:r>
        <w:rPr>
          <w:bCs/>
          <w:b/>
        </w:rPr>
        <w:t xml:space="preserve">Parental Involvement Workshops:</w:t>
      </w:r>
      <w:r>
        <w:t xml:space="preserve"> </w:t>
      </w:r>
      <w:r>
        <w:t xml:space="preserve">Empowering parents to support their children's learning at home, reinforcing the school environment.</w:t>
      </w:r>
    </w:p>
    <w:p>
      <w:pPr>
        <w:pStyle w:val="FirstParagraph"/>
      </w:pPr>
      <w:r>
        <w:br/>
      </w:r>
      <w:r>
        <w:t xml:space="preserve">Thirteenth,</w:t>
      </w:r>
      <w:r>
        <w:br/>
      </w:r>
    </w:p>
    <w:p>
      <w:pPr>
        <w:numPr>
          <w:ilvl w:val="0"/>
          <w:numId w:val="1012"/>
        </w:numPr>
        <w:pStyle w:val="Compact"/>
      </w:pPr>
      <w:r>
        <w:rPr>
          <w:bCs/>
          <w:b/>
        </w:rPr>
        <w:t xml:space="preserve">Peer Learning Networks:</w:t>
      </w:r>
      <w:r>
        <w:t xml:space="preserve"> </w:t>
      </w:r>
      <w:r>
        <w:t xml:space="preserve">Facilitating regular workshops and seminars where teachers can share innovative ideas.</w:t>
      </w:r>
    </w:p>
    <w:p>
      <w:pPr>
        <w:pStyle w:val="FirstParagraph"/>
      </w:pPr>
      <w:r>
        <w:br/>
      </w:r>
      <w:r>
        <w:t xml:space="preserve">Fourteenth,</w:t>
      </w:r>
      <w:r>
        <w:br/>
      </w:r>
    </w:p>
    <w:p>
      <w:pPr>
        <w:numPr>
          <w:ilvl w:val="0"/>
          <w:numId w:val="1013"/>
        </w:numPr>
        <w:pStyle w:val="Compact"/>
      </w:pPr>
      <w:r>
        <w:rPr>
          <w:bCs/>
          <w:b/>
        </w:rPr>
        <w:t xml:space="preserve">Health and Safety Training:</w:t>
      </w:r>
      <w:r>
        <w:t xml:space="preserve"> </w:t>
      </w:r>
      <w:r>
        <w:t xml:space="preserve">Ensuring all schools in</w:t>
      </w:r>
      <w:r>
        <w:t xml:space="preserve"> </w:t>
      </w:r>
      <w:r>
        <w:rPr>
          <w:iCs/>
          <w:i/>
        </w:rPr>
        <w:t xml:space="preserve">Egypt Alexandria</w:t>
      </w:r>
      <w:r>
        <w:t xml:space="preserve"> </w:t>
      </w:r>
      <w:r>
        <w:t xml:space="preserve">meet the highest standards of safety and hygiene.</w:t>
      </w:r>
    </w:p>
    <w:p>
      <w:pPr>
        <w:pStyle w:val="FirstParagraph"/>
      </w:pPr>
      <w:r>
        <w:br/>
      </w:r>
      <w:r>
        <w:t xml:space="preserve">Fifteenth,</w:t>
      </w:r>
      <w:r>
        <w:br/>
      </w:r>
    </w:p>
    <w:p>
      <w:pPr>
        <w:numPr>
          <w:ilvl w:val="0"/>
          <w:numId w:val="1014"/>
        </w:numPr>
        <w:pStyle w:val="Compact"/>
      </w:pPr>
      <w:r>
        <w:rPr>
          <w:bCs/>
          <w:b/>
        </w:rPr>
        <w:t xml:space="preserve">Literacy and Numeracy Focus:</w:t>
      </w:r>
      <w:r>
        <w:t xml:space="preserve"> </w:t>
      </w:r>
      <w:r>
        <w:t xml:space="preserve">Prioritizing foundational skills in reading, writing, and mathematics during the early years.</w:t>
      </w:r>
    </w:p>
    <w:p>
      <w:pPr>
        <w:pStyle w:val="FirstParagraph"/>
      </w:pPr>
      <w:r>
        <w:br/>
      </w:r>
      <w:r>
        <w:t xml:space="preserve">Sixteenth,</w:t>
      </w:r>
      <w:r>
        <w:br/>
      </w:r>
    </w:p>
    <w:p>
      <w:pPr>
        <w:numPr>
          <w:ilvl w:val="0"/>
          <w:numId w:val="1015"/>
        </w:numPr>
        <w:pStyle w:val="Compact"/>
      </w:pPr>
      <w:r>
        <w:rPr>
          <w:bCs/>
          <w:b/>
        </w:rPr>
        <w:t xml:space="preserve">Creative Arts Integration:</w:t>
      </w:r>
      <w:r>
        <w:t xml:space="preserve"> </w:t>
      </w:r>
      <w:r>
        <w:t xml:space="preserve">Incorporating music, drama, and visual arts to foster holistic development.</w:t>
      </w:r>
    </w:p>
    <w:p>
      <w:pPr>
        <w:pStyle w:val="FirstParagraph"/>
      </w:pPr>
      <w:r>
        <w:br/>
      </w:r>
      <w:r>
        <w:t xml:space="preserve">Seventeenth,</w:t>
      </w:r>
      <w:r>
        <w:br/>
      </w:r>
    </w:p>
    <w:p>
      <w:pPr>
        <w:numPr>
          <w:ilvl w:val="0"/>
          <w:numId w:val="1016"/>
        </w:numPr>
        <w:pStyle w:val="Compact"/>
      </w:pPr>
      <w:r>
        <w:rPr>
          <w:bCs/>
          <w:b/>
        </w:rPr>
        <w:t xml:space="preserve">Sports and Physical Education:</w:t>
      </w:r>
      <w:r>
        <w:t xml:space="preserve"> </w:t>
      </w:r>
      <w:r>
        <w:t xml:space="preserve">Promoting physical health as a component of overall well-being.</w:t>
      </w:r>
    </w:p>
    <w:p>
      <w:pPr>
        <w:pStyle w:val="FirstParagraph"/>
      </w:pPr>
      <w:r>
        <w:br/>
      </w:r>
      <w:r>
        <w:t xml:space="preserve">Eighteenth,</w:t>
      </w:r>
      <w:r>
        <w:br/>
      </w:r>
    </w:p>
    <w:p>
      <w:pPr>
        <w:numPr>
          <w:ilvl w:val="0"/>
          <w:numId w:val="1017"/>
        </w:numPr>
        <w:pStyle w:val="Compact"/>
      </w:pPr>
      <w:r>
        <w:rPr>
          <w:bCs/>
          <w:b/>
        </w:rPr>
        <w:t xml:space="preserve">Environmental Awareness:</w:t>
      </w:r>
      <w:r>
        <w:t xml:space="preserve"> </w:t>
      </w:r>
      <w:r>
        <w:t xml:space="preserve">Teaching students about sustainability and environmental responsibility, relevant to the coastal context of</w:t>
      </w:r>
      <w:r>
        <w:t xml:space="preserve"> </w:t>
      </w:r>
      <w:r>
        <w:rPr>
          <w:iCs/>
          <w:i/>
        </w:rPr>
        <w:t xml:space="preserve">Egypt Alexandria</w:t>
      </w:r>
      <w:r>
        <w:t xml:space="preserve">.</w:t>
      </w:r>
    </w:p>
    <w:p>
      <w:pPr>
        <w:pStyle w:val="FirstParagraph"/>
      </w:pPr>
      <w:r>
        <w:br/>
      </w:r>
      <w:r>
        <w:t xml:space="preserve">Nineteenth,</w:t>
      </w:r>
      <w:r>
        <w:br/>
      </w:r>
    </w:p>
    <w:p>
      <w:pPr>
        <w:numPr>
          <w:ilvl w:val="0"/>
          <w:numId w:val="1018"/>
        </w:numPr>
        <w:pStyle w:val="Compact"/>
      </w:pPr>
      <w:r>
        <w:rPr>
          <w:bCs/>
          <w:b/>
        </w:rPr>
        <w:t xml:space="preserve">Digital Citizenship:</w:t>
      </w:r>
      <w:r>
        <w:t xml:space="preserve"> </w:t>
      </w:r>
      <w:r>
        <w:t xml:space="preserve">Educating students on the responsible and safe use of technology.</w:t>
      </w:r>
    </w:p>
    <w:p>
      <w:pPr>
        <w:pStyle w:val="FirstParagraph"/>
      </w:pPr>
      <w:r>
        <w:br/>
      </w:r>
      <w:r>
        <w:t xml:space="preserve">Twentieth,</w:t>
      </w:r>
      <w:r>
        <w:br/>
      </w:r>
    </w:p>
    <w:p>
      <w:pPr>
        <w:numPr>
          <w:ilvl w:val="0"/>
          <w:numId w:val="1019"/>
        </w:numPr>
        <w:pStyle w:val="Compact"/>
      </w:pPr>
      <w:r>
        <w:rPr>
          <w:bCs/>
          <w:b/>
        </w:rPr>
        <w:t xml:space="preserve">Career Guidance:</w:t>
      </w:r>
      <w:r>
        <w:t xml:space="preserve"> </w:t>
      </w:r>
      <w:r>
        <w:t xml:space="preserve">Introducing basic career exploration concepts to older primary students.</w:t>
      </w:r>
    </w:p>
    <w:p>
      <w:pPr>
        <w:pStyle w:val="FirstParagraph"/>
      </w:pPr>
      <w:r>
        <w:br/>
      </w:r>
      <w:r>
        <w:t xml:space="preserve">Twenty-First,</w:t>
      </w:r>
      <w:r>
        <w:br/>
      </w:r>
    </w:p>
    <w:p>
      <w:pPr>
        <w:numPr>
          <w:ilvl w:val="0"/>
          <w:numId w:val="1020"/>
        </w:numPr>
        <w:pStyle w:val="Compact"/>
      </w:pPr>
      <w:r>
        <w:rPr>
          <w:bCs/>
          <w:b/>
        </w:rPr>
        <w:t xml:space="preserve">Lifelong Learning Mindset:</w:t>
      </w:r>
      <w:r>
        <w:t xml:space="preserve"> </w:t>
      </w:r>
      <w:r>
        <w:t xml:space="preserve">Instilling a love for learning that extends beyond the classroom.</w:t>
      </w:r>
    </w:p>
    <w:p>
      <w:pPr>
        <w:pStyle w:val="FirstParagraph"/>
      </w:pPr>
      <w:r>
        <w:br/>
      </w:r>
      <w:r>
        <w:t xml:space="preserve">Twenty-Second,</w:t>
      </w:r>
      <w:r>
        <w:br/>
      </w:r>
    </w:p>
    <w:p>
      <w:pPr>
        <w:numPr>
          <w:ilvl w:val="0"/>
          <w:numId w:val="1021"/>
        </w:numPr>
        <w:pStyle w:val="Compact"/>
      </w:pPr>
      <w:r>
        <w:rPr>
          <w:bCs/>
          <w:b/>
        </w:rPr>
        <w:t xml:space="preserve">Conflict Resolution:</w:t>
      </w:r>
      <w:r>
        <w:t xml:space="preserve"> </w:t>
      </w:r>
      <w:r>
        <w:t xml:space="preserve">Teaching students peaceful conflict resolution skills.</w:t>
      </w:r>
    </w:p>
    <w:p>
      <w:pPr>
        <w:pStyle w:val="FirstParagraph"/>
      </w:pPr>
      <w:r>
        <w:br/>
      </w:r>
      <w:r>
        <w:t xml:space="preserve">Twenty-Third,</w:t>
      </w:r>
      <w:r>
        <w:br/>
      </w:r>
    </w:p>
    <w:p>
      <w:pPr>
        <w:numPr>
          <w:ilvl w:val="0"/>
          <w:numId w:val="1022"/>
        </w:numPr>
        <w:pStyle w:val="Compact"/>
      </w:pPr>
      <w:r>
        <w:rPr>
          <w:bCs/>
          <w:b/>
        </w:rPr>
        <w:t xml:space="preserve">Moral and Ethical Education:</w:t>
      </w:r>
      <w:r>
        <w:t xml:space="preserve"> </w:t>
      </w:r>
      <w:r>
        <w:t xml:space="preserve">Emphasizing integrity, respect, and empathy.</w:t>
      </w:r>
    </w:p>
    <w:p>
      <w:pPr>
        <w:pStyle w:val="FirstParagraph"/>
      </w:pPr>
      <w:r>
        <w:br/>
      </w:r>
      <w:r>
        <w:t xml:space="preserve">Twenty-Fourth,</w:t>
      </w:r>
      <w:r>
        <w:br/>
      </w:r>
    </w:p>
    <w:p>
      <w:pPr>
        <w:numPr>
          <w:ilvl w:val="0"/>
          <w:numId w:val="1023"/>
        </w:numPr>
        <w:pStyle w:val="Compact"/>
      </w:pPr>
      <w:r>
        <w:rPr>
          <w:bCs/>
          <w:b/>
        </w:rPr>
        <w:t xml:space="preserve">Cultural Heritage Appreciation:</w:t>
      </w:r>
      <w:r>
        <w:t xml:space="preserve"> </w:t>
      </w:r>
      <w:r>
        <w:t xml:space="preserve">Celebrating the rich history of Alexandria and Egypt.</w:t>
      </w:r>
    </w:p>
    <w:p>
      <w:pPr>
        <w:pStyle w:val="FirstParagraph"/>
      </w:pPr>
      <w:r>
        <w:br/>
      </w:r>
      <w:r>
        <w:t xml:space="preserve">Twenty-Fifth,</w:t>
      </w:r>
      <w:r>
        <w:br/>
      </w:r>
    </w:p>
    <w:p>
      <w:pPr>
        <w:numPr>
          <w:ilvl w:val="0"/>
          <w:numId w:val="1024"/>
        </w:numPr>
        <w:pStyle w:val="Compact"/>
      </w:pPr>
      <w:r>
        <w:rPr>
          <w:bCs/>
          <w:b/>
        </w:rPr>
        <w:t xml:space="preserve">Global Competence:</w:t>
      </w:r>
      <w:r>
        <w:t xml:space="preserve"> </w:t>
      </w:r>
      <w:r>
        <w:t xml:space="preserve">Preparing students to thrive in an interconnected world.</w:t>
      </w:r>
    </w:p>
    <w:p>
      <w:pPr>
        <w:pStyle w:val="FirstParagraph"/>
      </w:pPr>
      <w:r>
        <w:br/>
      </w:r>
      <w:r>
        <w:t xml:space="preserve">Twenty-Sixth,</w:t>
      </w:r>
      <w:r>
        <w:br/>
      </w:r>
    </w:p>
    <w:p>
      <w:pPr>
        <w:numPr>
          <w:ilvl w:val="0"/>
          <w:numId w:val="1025"/>
        </w:numPr>
        <w:pStyle w:val="Compact"/>
      </w:pPr>
      <w:r>
        <w:rPr>
          <w:bCs/>
          <w:b/>
        </w:rPr>
        <w:t xml:space="preserve">Critical Thinking:</w:t>
      </w:r>
      <w:r>
        <w:t xml:space="preserve"> </w:t>
      </w:r>
      <w:r>
        <w:t xml:space="preserve">Encouraging students to question, analyze, and evaluate information.</w:t>
      </w:r>
    </w:p>
    <w:p>
      <w:pPr>
        <w:pStyle w:val="FirstParagraph"/>
      </w:pPr>
      <w:r>
        <w:br/>
      </w:r>
      <w:r>
        <w:t xml:space="preserve">Twenty-Seventh,</w:t>
      </w:r>
      <w:r>
        <w:br/>
      </w:r>
    </w:p>
    <w:p>
      <w:pPr>
        <w:numPr>
          <w:ilvl w:val="0"/>
          <w:numId w:val="1026"/>
        </w:numPr>
        <w:pStyle w:val="Compact"/>
      </w:pPr>
      <w:r>
        <w:rPr>
          <w:bCs/>
          <w:b/>
        </w:rPr>
        <w:t xml:space="preserve">Creativity:</w:t>
      </w:r>
      <w:r>
        <w:t xml:space="preserve"> </w:t>
      </w:r>
      <w:r>
        <w:t xml:space="preserve">Fostering innovation and imaginative thinking.</w:t>
      </w:r>
    </w:p>
    <w:p>
      <w:pPr>
        <w:pStyle w:val="FirstParagraph"/>
      </w:pPr>
      <w:r>
        <w:br/>
      </w:r>
      <w:r>
        <w:t xml:space="preserve">Twenty-Eighth,</w:t>
      </w:r>
      <w:r>
        <w:br/>
      </w:r>
    </w:p>
    <w:p>
      <w:pPr>
        <w:numPr>
          <w:ilvl w:val="0"/>
          <w:numId w:val="1027"/>
        </w:numPr>
        <w:pStyle w:val="Compact"/>
      </w:pPr>
      <w:r>
        <w:rPr>
          <w:bCs/>
          <w:b/>
        </w:rPr>
        <w:t xml:space="preserve">Collaboration:</w:t>
      </w:r>
      <w:r>
        <w:t xml:space="preserve"> </w:t>
      </w:r>
      <w:r>
        <w:t xml:space="preserve">Teaching students to work effectively in teams.</w:t>
      </w:r>
    </w:p>
    <w:p>
      <w:pPr>
        <w:pStyle w:val="FirstParagraph"/>
      </w:pPr>
      <w:r>
        <w:br/>
      </w:r>
      <w:r>
        <w:t xml:space="preserve">Twenty-Ninth,</w:t>
      </w:r>
      <w:r>
        <w:br/>
      </w:r>
    </w:p>
    <w:p>
      <w:pPr>
        <w:numPr>
          <w:ilvl w:val="0"/>
          <w:numId w:val="1028"/>
        </w:numPr>
        <w:pStyle w:val="Compact"/>
      </w:pPr>
      <w:r>
        <w:rPr>
          <w:bCs/>
          <w:b/>
        </w:rPr>
        <w:t xml:space="preserve">Communication:</w:t>
      </w:r>
      <w:r>
        <w:t xml:space="preserve"> </w:t>
      </w:r>
      <w:r>
        <w:t xml:space="preserve">Enhancing verbal and non-verbal communication skills.</w:t>
      </w:r>
    </w:p>
    <w:p>
      <w:pPr>
        <w:pStyle w:val="FirstParagraph"/>
      </w:pPr>
      <w:r>
        <w:br/>
      </w:r>
      <w:r>
        <w:t xml:space="preserve">Thirtieth,</w:t>
      </w:r>
      <w:r>
        <w:br/>
      </w:r>
    </w:p>
    <w:p>
      <w:pPr>
        <w:numPr>
          <w:ilvl w:val="0"/>
          <w:numId w:val="1029"/>
        </w:numPr>
        <w:pStyle w:val="Compact"/>
      </w:pPr>
      <w:r>
        <w:rPr>
          <w:bCs/>
          <w:b/>
        </w:rPr>
        <w:t xml:space="preserve">Citizenship:</w:t>
      </w:r>
      <w:r>
        <w:t xml:space="preserve"> </w:t>
      </w:r>
      <w:r>
        <w:t xml:space="preserve">Instilling a sense of responsibility towards the community and nation.</w:t>
      </w:r>
    </w:p>
    <w:p>
      <w:pPr>
        <w:pStyle w:val="FirstParagraph"/>
      </w:pPr>
      <w:r>
        <w:br/>
      </w:r>
      <w:r>
        <w:t xml:space="preserve">Thirty-First,</w:t>
      </w:r>
      <w:r>
        <w:br/>
      </w:r>
    </w:p>
    <w:p>
      <w:pPr>
        <w:numPr>
          <w:ilvl w:val="0"/>
          <w:numId w:val="1030"/>
        </w:numPr>
        <w:pStyle w:val="Compact"/>
      </w:pPr>
      <w:r>
        <w:rPr>
          <w:bCs/>
          <w:b/>
        </w:rPr>
        <w:t xml:space="preserve">Adaptability:</w:t>
      </w:r>
      <w:r>
        <w:t xml:space="preserve"> </w:t>
      </w:r>
      <w:r>
        <w:t xml:space="preserve">Helping students cope with change and uncertainty.</w:t>
      </w:r>
    </w:p>
    <w:p>
      <w:pPr>
        <w:pStyle w:val="FirstParagraph"/>
      </w:pPr>
      <w:r>
        <w:br/>
      </w:r>
      <w:r>
        <w:t xml:space="preserve">Thirty-Second,</w:t>
      </w:r>
      <w:r>
        <w:br/>
      </w:r>
    </w:p>
    <w:p>
      <w:pPr>
        <w:numPr>
          <w:ilvl w:val="0"/>
          <w:numId w:val="1031"/>
        </w:numPr>
        <w:pStyle w:val="Compact"/>
      </w:pPr>
      <w:r>
        <w:rPr>
          <w:bCs/>
          <w:b/>
        </w:rPr>
        <w:t xml:space="preserve">Resilience:</w:t>
      </w:r>
      <w:r>
        <w:t xml:space="preserve"> </w:t>
      </w:r>
      <w:r>
        <w:t xml:space="preserve">Building emotional strength to overcome challenges.</w:t>
      </w:r>
    </w:p>
    <w:p>
      <w:pPr>
        <w:pStyle w:val="FirstParagraph"/>
      </w:pPr>
      <w:r>
        <w:br/>
      </w:r>
      <w:r>
        <w:t xml:space="preserve">Thirty-Third,</w:t>
      </w:r>
      <w:r>
        <w:br/>
      </w:r>
    </w:p>
    <w:p>
      <w:pPr>
        <w:numPr>
          <w:ilvl w:val="0"/>
          <w:numId w:val="1032"/>
        </w:numPr>
        <w:pStyle w:val="Compact"/>
      </w:pPr>
      <w:r>
        <w:rPr>
          <w:bCs/>
          <w:b/>
        </w:rPr>
        <w:t xml:space="preserve">Self-Discipline:</w:t>
      </w:r>
      <w:r>
        <w:t xml:space="preserve"> </w:t>
      </w:r>
      <w:r>
        <w:t xml:space="preserve">Encouraging self-regulation and responsibility.</w:t>
      </w:r>
    </w:p>
    <w:p>
      <w:pPr>
        <w:pStyle w:val="FirstParagraph"/>
      </w:pPr>
      <w:r>
        <w:br/>
      </w:r>
      <w:r>
        <w:t xml:space="preserve">Thirty-Fourth,</w:t>
      </w:r>
      <w:r>
        <w:br/>
      </w:r>
    </w:p>
    <w:p>
      <w:pPr>
        <w:numPr>
          <w:ilvl w:val="0"/>
          <w:numId w:val="1033"/>
        </w:numPr>
        <w:pStyle w:val="Compact"/>
      </w:pPr>
      <w:r>
        <w:rPr>
          <w:bCs/>
          <w:b/>
        </w:rPr>
        <w:t xml:space="preserve">Curiosity:</w:t>
      </w:r>
      <w:r>
        <w:t xml:space="preserve">Nurturing a natural desire to learn and explore.</w:t>
      </w:r>
    </w:p>
    <w:p>
      <w:pPr>
        <w:pStyle w:val="FirstParagraph"/>
      </w:pPr>
      <w:r>
        <w:br/>
      </w:r>
      <w:r>
        <w:t xml:space="preserve">Thirty-Fifth,</w:t>
      </w:r>
      <w:r>
        <w:br/>
      </w:r>
    </w:p>
    <w:p>
      <w:pPr>
        <w:numPr>
          <w:ilvl w:val="0"/>
          <w:numId w:val="1034"/>
        </w:numPr>
        <w:pStyle w:val="Compact"/>
      </w:pPr>
      <w:r>
        <w:rPr>
          <w:bCs/>
          <w:b/>
        </w:rPr>
        <w:t xml:space="preserve">Empathy:</w:t>
      </w:r>
      <w:r>
        <w:t xml:space="preserve">Cultivating the ability to understand and share the feelings of others.</w:t>
      </w:r>
    </w:p>
    <w:p>
      <w:pPr>
        <w:pStyle w:val="FirstParagraph"/>
      </w:pPr>
      <w:r>
        <w:br/>
      </w:r>
      <w:r>
        <w:t xml:space="preserve">Thirty-Sixth,</w:t>
      </w:r>
      <w:r>
        <w:br/>
      </w:r>
    </w:p>
    <w:p>
      <w:pPr>
        <w:numPr>
          <w:ilvl w:val="0"/>
          <w:numId w:val="1035"/>
        </w:numPr>
        <w:pStyle w:val="Compact"/>
      </w:pPr>
      <w:r>
        <w:rPr>
          <w:bCs/>
          <w:b/>
        </w:rPr>
        <w:t xml:space="preserve">Leadership:</w:t>
      </w:r>
      <w:r>
        <w:t xml:space="preserve">Developing skills to guide and inspire others.</w:t>
      </w:r>
    </w:p>
    <w:p>
      <w:pPr>
        <w:pStyle w:val="FirstParagraph"/>
      </w:pPr>
      <w:r>
        <w:br/>
      </w:r>
      <w:r>
        <w:t xml:space="preserve">Thirty-Seventh,</w:t>
      </w:r>
      <w:r>
        <w:br/>
      </w:r>
    </w:p>
    <w:p>
      <w:pPr>
        <w:numPr>
          <w:ilvl w:val="0"/>
          <w:numId w:val="1036"/>
        </w:numPr>
        <w:pStyle w:val="Compact"/>
      </w:pPr>
      <w:r>
        <w:rPr>
          <w:bCs/>
          <w:b/>
        </w:rPr>
        <w:t xml:space="preserve">Courage:</w:t>
      </w:r>
      <w:r>
        <w:t xml:space="preserve">Educating students to take calculated risks and stand up for what is right.</w:t>
      </w:r>
    </w:p>
    <w:p>
      <w:pPr>
        <w:pStyle w:val="FirstParagraph"/>
      </w:pPr>
      <w:r>
        <w:br/>
      </w:r>
      <w:r>
        <w:t xml:space="preserve">Thirty-Eighth,</w:t>
      </w:r>
      <w:r>
        <w:br/>
      </w:r>
    </w:p>
    <w:p>
      <w:pPr>
        <w:numPr>
          <w:ilvl w:val="0"/>
          <w:numId w:val="1037"/>
        </w:numPr>
        <w:pStyle w:val="Compact"/>
      </w:pPr>
      <w:r>
        <w:rPr>
          <w:bCs/>
          <w:b/>
        </w:rPr>
        <w:t xml:space="preserve">Honesty:</w:t>
      </w:r>
      <w:r>
        <w:t xml:space="preserve">Emphasizing the importance of truthfulness and integrity.</w:t>
      </w:r>
    </w:p>
    <w:p>
      <w:pPr>
        <w:pStyle w:val="FirstParagraph"/>
      </w:pPr>
      <w:r>
        <w:br/>
      </w:r>
      <w:r>
        <w:t xml:space="preserve">Thirty-Ninth,</w:t>
      </w:r>
      <w:r>
        <w:br/>
      </w:r>
    </w:p>
    <w:p>
      <w:pPr>
        <w:numPr>
          <w:ilvl w:val="0"/>
          <w:numId w:val="1038"/>
        </w:numPr>
        <w:pStyle w:val="Compact"/>
      </w:pPr>
      <w:r>
        <w:rPr>
          <w:bCs/>
          <w:b/>
        </w:rPr>
        <w:t xml:space="preserve">Respect:</w:t>
      </w:r>
      <w:r>
        <w:t xml:space="preserve">Tearing students to value themselves and others.</w:t>
      </w:r>
    </w:p>
    <w:p>
      <w:pPr>
        <w:pStyle w:val="FirstParagraph"/>
      </w:pPr>
      <w:r>
        <w:br/>
      </w:r>
      <w:r>
        <w:t xml:space="preserve">Fortieth,</w:t>
      </w:r>
      <w:r>
        <w:br/>
      </w:r>
    </w:p>
    <w:p>
      <w:pPr>
        <w:numPr>
          <w:ilvl w:val="0"/>
          <w:numId w:val="1039"/>
        </w:numPr>
        <w:pStyle w:val="Compact"/>
      </w:pPr>
      <w:r>
        <w:rPr>
          <w:bCs/>
          <w:b/>
        </w:rPr>
        <w:t xml:space="preserve">Happiness:</w:t>
      </w:r>
      <w:r>
        <w:t xml:space="preserve">Fostering a positive and joyful learning environment.</w:t>
      </w:r>
    </w:p>
    <w:p>
      <w:pPr>
        <w:pStyle w:val="FirstParagraph"/>
      </w:pPr>
      <w:r>
        <w:br/>
      </w:r>
      <w:r>
        <w:t xml:space="preserve">Forty-First,</w:t>
      </w:r>
      <w:r>
        <w:br/>
      </w:r>
    </w:p>
    <w:p>
      <w:pPr>
        <w:numPr>
          <w:ilvl w:val="0"/>
          <w:numId w:val="1040"/>
        </w:numPr>
        <w:pStyle w:val="Compact"/>
      </w:pPr>
      <w:r>
        <w:rPr>
          <w:bCs/>
          <w:b/>
        </w:rPr>
        <w:t xml:space="preserve">Purpose:</w:t>
      </w:r>
      <w:r>
        <w:t xml:space="preserve">Helping students find meaning in their education and life.</w:t>
      </w:r>
    </w:p>
    <w:p>
      <w:pPr>
        <w:pStyle w:val="FirstParagraph"/>
      </w:pPr>
      <w:r>
        <w:br/>
      </w:r>
      <w:r>
        <w:t xml:space="preserve">Forty-Second,</w:t>
      </w:r>
      <w:r>
        <w:br/>
      </w:r>
    </w:p>
    <w:p>
      <w:pPr>
        <w:numPr>
          <w:ilvl w:val="0"/>
          <w:numId w:val="1041"/>
        </w:numPr>
        <w:pStyle w:val="Compact"/>
      </w:pPr>
      <w:r>
        <w:rPr>
          <w:bCs/>
          <w:b/>
        </w:rPr>
        <w:t xml:space="preserve">Hope:</w:t>
      </w:r>
      <w:r>
        <w:t xml:space="preserve">Inspiring confidence in the future.</w:t>
      </w:r>
    </w:p>
    <w:p>
      <w:pPr>
        <w:pStyle w:val="FirstParagraph"/>
      </w:pPr>
      <w:r>
        <w:br/>
      </w:r>
      <w:r>
        <w:t xml:space="preserve">Forty-Third,</w:t>
      </w:r>
      <w:r>
        <w:br/>
      </w:r>
    </w:p>
    <w:p>
      <w:pPr>
        <w:numPr>
          <w:ilvl w:val="0"/>
          <w:numId w:val="1042"/>
        </w:numPr>
        <w:pStyle w:val="Compact"/>
      </w:pPr>
      <w:r>
        <w:rPr>
          <w:bCs/>
          <w:b/>
        </w:rPr>
        <w:t xml:space="preserve">Joy:</w:t>
      </w:r>
      <w:r>
        <w:t xml:space="preserve">Celebrating the wonders of learning.</w:t>
      </w:r>
    </w:p>
    <w:p>
      <w:pPr>
        <w:pStyle w:val="FirstParagraph"/>
      </w:pPr>
      <w:r>
        <w:br/>
      </w:r>
      <w:r>
        <w:t xml:space="preserve">Forty-Fourth,</w:t>
      </w:r>
      <w:r>
        <w:br/>
      </w:r>
    </w:p>
    <w:p>
      <w:pPr>
        <w:numPr>
          <w:ilvl w:val="0"/>
          <w:numId w:val="1043"/>
        </w:numPr>
        <w:pStyle w:val="Compact"/>
      </w:pPr>
      <w:r>
        <w:t xml:space="preserve">Growth:Nurturing continuous development.</w:t>
      </w:r>
    </w:p>
    <w:p>
      <w:pPr>
        <w:pStyle w:val="FirstParagraph"/>
      </w:pPr>
      <w:r>
        <w:br/>
      </w:r>
      <w:r>
        <w:t xml:space="preserve">Forty-Fifth,</w:t>
      </w:r>
      <w:r>
        <w:br/>
      </w:r>
    </w:p>
    <w:p>
      <w:pPr>
        <w:pStyle w:val="BodyText"/>
      </w:pPr>
      <w:r>
        <w:rPr>
          <w:bCs/>
          <w:b/>
        </w:rPr>
        <w:t xml:space="preserve">Success:Defining and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Egypt Alexandria</dc:title>
  <dc:creator/>
  <dc:language>en</dc:language>
  <cp:keywords/>
  <dcterms:created xsi:type="dcterms:W3CDTF">2026-07-29T21:07:28Z</dcterms:created>
  <dcterms:modified xsi:type="dcterms:W3CDTF">2026-07-29T21:07:28Z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