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Strategy</w:t>
      </w:r>
      <w:r>
        <w:t xml:space="preserve"> </w:t>
      </w:r>
      <w:r>
        <w:t xml:space="preserve">in</w:t>
      </w:r>
      <w:r>
        <w:t xml:space="preserve"> </w:t>
      </w:r>
      <w:r>
        <w:t xml:space="preserve">Netherlands</w:t>
      </w:r>
      <w:r>
        <w:t xml:space="preserve"> </w:t>
      </w:r>
      <w:r>
        <w:t xml:space="preserve">Amsterdam</w:t>
      </w:r>
    </w:p>
    <w:bookmarkStart w:id="20" w:name="X813499942da748cb1ec895991376744a03b5e78"/>
    <w:p>
      <w:pPr>
        <w:pStyle w:val="Heading1"/>
      </w:pPr>
      <w:r>
        <w:rPr>
          <w:bCs/>
          <w:b/>
        </w:rPr>
        <w:t xml:space="preserve">A Comprehensive Project Report on the Teacher Primary Sector in Netherlands Amsterdam</w:t>
      </w:r>
    </w:p>
    <w:p>
      <w:pPr>
        <w:pStyle w:val="FirstParagraph"/>
      </w:pPr>
      <w:r>
        <w:rPr>
          <w:iCs/>
          <w:i/>
        </w:rPr>
        <w:t xml:space="preserve">Date:</w:t>
      </w:r>
      <w:r>
        <w:t xml:space="preserve"> </w:t>
      </w:r>
      <w:r>
        <w:t xml:space="preserve">October 26, 2023</w:t>
      </w:r>
      <w:r>
        <w:br/>
      </w:r>
      <w:r>
        <w:rPr>
          <w:iCs/>
          <w:i/>
        </w:rPr>
        <w:t xml:space="preserve">To:</w:t>
      </w:r>
      <w:r>
        <w:t xml:space="preserve">The Department of Education and Urban Planning Committee</w:t>
      </w:r>
      <w:r>
        <w:br/>
      </w:r>
    </w:p>
    <w:p>
      <w:pPr>
        <w:pStyle w:val="BodyText"/>
      </w:pPr>
      <w:r>
        <w:t xml:space="preserve">From:Rural Educational Strategy Division</w:t>
      </w:r>
    </w:p>
    <w:bookmarkEnd w:id="20"/>
    <w:bookmarkStart w:id="21" w:name="executive-summary"/>
    <w:p>
      <w:pPr>
        <w:pStyle w:val="Heading3"/>
      </w:pPr>
      <w:r>
        <w:t xml:space="preserve">Executive Summary</w:t>
      </w:r>
    </w:p>
    <w:p>
      <w:pPr>
        <w:pStyle w:val="FirstParagraph"/>
      </w:pPr>
      <w:r>
        <w:t xml:space="preserve">This Project Report provides a detailed analysis of the current state, challenges, and strategic opportunities for the Teacher Primary education sector within Netherlands Amsterdam. As one of Europe's most dynamic urban centers, Amsterdam faces unique demographic shifts that directly impact its primary schools. This document outlines the critical need for specialized recruitment strategies, cultural integration support, and pedagogical modernization to ensure high-quality early education for all children in this bustling metropolis.</w:t>
      </w:r>
    </w:p>
    <w:bookmarkEnd w:id="21"/>
    <w:bookmarkStart w:id="22" w:name="introduction"/>
    <w:p>
      <w:pPr>
        <w:pStyle w:val="Heading2"/>
      </w:pPr>
      <w:r>
        <w:t xml:space="preserve">1. Introduction</w:t>
      </w:r>
    </w:p>
    <w:p>
      <w:pPr>
        <w:pStyle w:val="FirstParagraph"/>
      </w:pPr>
      <w:r>
        <w:t xml:space="preserve">The educational landscape of Netherlands Amsterdam is characterized by its diversity, density, and progressive approach to learning. As the capital city of the Netherlands, Amsterdam serves as a global hub for culture, technology, and international business. Consequently,the primary school system here is not merely an institution for basic literacy and numeracy but a cornerstone of social integration and community building.</w:t>
      </w:r>
    </w:p>
    <w:p>
      <w:pPr>
        <w:pStyle w:val="BodyText"/>
      </w:pPr>
      <w:r>
        <w:t xml:space="preserve">This Project Report aims to dissect the current ecosystem supporting Teacher Primary professionals in this region. The focus is placed on understanding the specific nuances of teaching in Netherlands Amsterdam, where the ratio of students with diverse cultural backgrounds is significantly higher than rural averages. The report highlights that while the Netherlands boasts a robust education system, Amsterdam presents distinct logistical and social challenges that require tailored administrative and pedagogical solutions.</w:t>
      </w:r>
    </w:p>
    <w:bookmarkEnd w:id="22"/>
    <w:bookmarkStart w:id="23" w:name="Xa50ecafa6558088364fcb774b2f2afdb6c3fb8c"/>
    <w:p>
      <w:pPr>
        <w:pStyle w:val="Heading2"/>
      </w:pPr>
      <w:r>
        <w:t xml:space="preserve">2. Current Landscape of Primary Education in Netherlands</w:t>
      </w:r>
    </w:p>
    <w:p>
      <w:pPr>
        <w:pStyle w:val="FirstParagraph"/>
      </w:pPr>
      <w:r>
        <w:t xml:space="preserve">To understand the context of Netherlands Amsterdam, one must first appreciate the broader framework of Dutch primary education. The system is known for its emphasis on student-centered learning, play-based curricula in early years (group 1-3), and gradual academic transition. However, within the urban environment of Amsterdam, this framework is tested by:</w:t>
      </w:r>
    </w:p>
    <w:p>
      <w:pPr>
        <w:numPr>
          <w:ilvl w:val="0"/>
          <w:numId w:val="1001"/>
        </w:numPr>
        <w:pStyle w:val="Compact"/>
      </w:pPr>
      <w:r>
        <w:rPr>
          <w:bCs/>
          <w:b/>
        </w:rPr>
        <w:t xml:space="preserve">Demographic Density:</w:t>
      </w:r>
      <w:r>
        <w:t xml:space="preserve"> </w:t>
      </w:r>
      <w:r>
        <w:t xml:space="preserve">High population density in neighborhoods like Zuidoost and West requires efficient classroom management and resource allocation.</w:t>
      </w:r>
    </w:p>
    <w:p>
      <w:pPr>
        <w:numPr>
          <w:ilvl w:val="0"/>
          <w:numId w:val="1001"/>
        </w:numPr>
        <w:pStyle w:val="Compact"/>
      </w:pPr>
      <w:r>
        <w:rPr>
          <w:bCs/>
          <w:b/>
        </w:rPr>
        <w:t xml:space="preserve">Linguistic Diversity:</w:t>
      </w:r>
      <w:r>
        <w:t xml:space="preserve">A significant portion of students arrive with Dutch as a second language, necessitating robust Language Acquisition Support (LOS) systems.</w:t>
      </w:r>
    </w:p>
    <w:p>
      <w:pPr>
        <w:numPr>
          <w:ilvl w:val="0"/>
          <w:numId w:val="1001"/>
        </w:numPr>
        <w:pStyle w:val="Compact"/>
      </w:pPr>
      <w:r>
        <w:rPr>
          <w:bCs/>
          <w:b/>
        </w:rPr>
        <w:t xml:space="preserve">Socio-Economic Variance:</w:t>
      </w:r>
      <w:r>
        <w:t xml:space="preserve">The gap between affluent areas like the Jordaan and socio-economically disadvantaged districts requires differentiated support structures to ensure equal opportunity.</w:t>
      </w:r>
    </w:p>
    <w:bookmarkEnd w:id="23"/>
    <w:bookmarkStart w:id="27" w:name="X4152babf094de2032baaa6bae7dc1fca5e37a22"/>
    <w:p>
      <w:pPr>
        <w:pStyle w:val="Heading2"/>
      </w:pPr>
      <w:r>
        <w:t xml:space="preserve">3. Challenges Facing Teacher Primary in Amsterdam</w:t>
      </w:r>
    </w:p>
    <w:bookmarkStart w:id="24" w:name="the-recruitment-crisis"/>
    <w:p>
      <w:pPr>
        <w:pStyle w:val="Heading3"/>
      </w:pPr>
      <w:r>
        <w:t xml:space="preserve">3.1 The Recruitment Crisis</w:t>
      </w:r>
    </w:p>
    <w:p>
      <w:pPr>
        <w:pStyle w:val="FirstParagraph"/>
      </w:pPr>
      <w:r>
        <w:br/>
      </w:r>
      <w:r>
        <w:t xml:space="preserve">A primary concern identified in this Project Report is the acute shortage of qualified Teacher Primary candidates willing to work in Netherlands Amsterdam schools, particularly those facing high behavioral or academic challenges. Many educators prefer less stressful environments or are deterred by the high cost of living associated with Amsterdam. This has led to a reliance on temporary staff and underqualified substitutes, which disrupts educational continuity for students.</w:t>
      </w:r>
      <w:r>
        <w:br/>
      </w:r>
    </w:p>
    <w:bookmarkEnd w:id="24"/>
    <w:bookmarkStart w:id="25" w:name="cultural-competency-and-integration"/>
    <w:p>
      <w:pPr>
        <w:pStyle w:val="Heading3"/>
      </w:pPr>
      <w:r>
        <w:t xml:space="preserve">3.2 Cultural Competency and Integration</w:t>
      </w:r>
    </w:p>
    <w:p>
      <w:pPr>
        <w:pStyle w:val="FirstParagraph"/>
      </w:pPr>
      <w:r>
        <w:br/>
      </w:r>
      <w:r>
        <w:t xml:space="preserve">Teachers in Netherlands Amsterdam must possess not only pedagogical skills but also high levels of cultural competency. The city’s multicultural fabric means that a single classroom may contain over fifteen different first languages. Teacher Primary professionals are often expected to act as social workers, mediators, and cultural bridges, roles for which they may not have received sufficient pre-service training.</w:t>
      </w:r>
      <w:r>
        <w:br/>
      </w:r>
    </w:p>
    <w:bookmarkEnd w:id="25"/>
    <w:bookmarkStart w:id="26" w:name="work-life-balance-and-urban-stress"/>
    <w:p>
      <w:pPr>
        <w:pStyle w:val="Heading3"/>
      </w:pPr>
      <w:r>
        <w:t xml:space="preserve">3.3 Work-Life Balance and Urban Stress</w:t>
      </w:r>
    </w:p>
    <w:p>
      <w:pPr>
        <w:pStyle w:val="FirstParagraph"/>
      </w:pPr>
      <w:r>
        <w:br/>
      </w:r>
      <w:r>
        <w:t xml:space="preserve">The pace of life in Amsterdam is fast-paced. Teacher Primary educators report high levels of burnout due to administrative burdens combined with the intense social demands of urban schooling. The housing crisis in Amsterdam further exacerbates this, as many teachers struggle to find affordable accommodation near their schools, leading to longer commutes and reduced personal time.</w:t>
      </w:r>
      <w:r>
        <w:br/>
      </w:r>
    </w:p>
    <w:bookmarkEnd w:id="26"/>
    <w:bookmarkEnd w:id="27"/>
    <w:bookmarkStart w:id="32" w:name="strategic-recommendations"/>
    <w:p>
      <w:pPr>
        <w:pStyle w:val="Heading2"/>
      </w:pPr>
      <w:r>
        <w:t xml:space="preserve">4. Strategic Recommendations</w:t>
      </w:r>
    </w:p>
    <w:p>
      <w:pPr>
        <w:pStyle w:val="FirstParagraph"/>
      </w:pPr>
      <w:r>
        <w:t xml:space="preserve">In response to the findings detailed in this Project Report, the following strategic recommendations are proposed for stakeholders involved in education within Netherlands Amsterdam:</w:t>
      </w:r>
    </w:p>
    <w:bookmarkStart w:id="28" w:name="enhanced-recruitment-incentives"/>
    <w:p>
      <w:pPr>
        <w:pStyle w:val="Heading3"/>
      </w:pPr>
      <w:r>
        <w:t xml:space="preserve">4.1 Enhanced Recruitment Incentives</w:t>
      </w:r>
    </w:p>
    <w:p>
      <w:pPr>
        <w:pStyle w:val="FirstParagraph"/>
      </w:pPr>
      <w:r>
        <w:br/>
      </w:r>
      <w:r>
        <w:t xml:space="preserve">Municipal authorities and school boards should collaborate to offer housing allowances or subsidized rental options for new Teacher Primary recruits who commit to a minimum three-year service period in Amsterdam. This initiative would directly address the cost-of-living barrier and stabilize the workforce.</w:t>
      </w:r>
      <w:r>
        <w:br/>
      </w:r>
    </w:p>
    <w:bookmarkEnd w:id="28"/>
    <w:bookmarkStart w:id="29" w:name="specialized-training-programs"/>
    <w:p>
      <w:pPr>
        <w:pStyle w:val="Heading3"/>
      </w:pPr>
      <w:r>
        <w:t xml:space="preserve">4.2 Specialized Training Programs</w:t>
      </w:r>
    </w:p>
    <w:p>
      <w:pPr>
        <w:pStyle w:val="FirstParagraph"/>
      </w:pPr>
      <w:r>
        <w:br/>
      </w:r>
      <w:r>
        <w:t xml:space="preserve">Universities of Applied Sciences (Hogescholen) in Netherlands should update their curricula to include mandatory modules on intercultural communication and trauma-informed teaching. Teacher Primary graduates must feel equipped to handle the complex social dynamics prevalent in Amsterdam’s diverse neighborhoods.</w:t>
      </w:r>
      <w:r>
        <w:br/>
      </w:r>
    </w:p>
    <w:bookmarkEnd w:id="29"/>
    <w:bookmarkStart w:id="30" w:name="community-engagement-models"/>
    <w:p>
      <w:pPr>
        <w:pStyle w:val="Heading3"/>
      </w:pPr>
      <w:r>
        <w:t xml:space="preserve">4.3 Community Engagement Models</w:t>
      </w:r>
    </w:p>
    <w:p>
      <w:pPr>
        <w:pStyle w:val="FirstParagraph"/>
      </w:pPr>
      <w:r>
        <w:br/>
      </w:r>
      <w:r>
        <w:t xml:space="preserve">Schools should adopt a "village" approach, engaging parents and local community leaders more actively in the educational process. For Teacher Primary staff, this means shifting from an isolated classroom model to a collaborative community hub. By involving parents in school activities, teachers can build stronger support networks that alleviate some of the social pressures they face.</w:t>
      </w:r>
      <w:r>
        <w:br/>
      </w:r>
    </w:p>
    <w:bookmarkEnd w:id="30"/>
    <w:bookmarkStart w:id="31" w:name="digital-infrastructure-investment"/>
    <w:p>
      <w:pPr>
        <w:pStyle w:val="Heading3"/>
      </w:pPr>
      <w:r>
        <w:t xml:space="preserve">4.4 Digital Infrastructure Investment</w:t>
      </w:r>
    </w:p>
    <w:p>
      <w:pPr>
        <w:pStyle w:val="FirstParagraph"/>
      </w:pPr>
      <w:r>
        <w:br/>
      </w:r>
      <w:r>
        <w:t xml:space="preserve">To reduce administrative burdens on Teacher Primary staff, investments should be made in user-friendly digital platforms for grading, attendance, and parent communication. Automating routine tasks allows educators to focus more on interpersonal interaction and student development.</w:t>
      </w:r>
      <w:r>
        <w:br/>
      </w:r>
    </w:p>
    <w:bookmarkEnd w:id="31"/>
    <w:bookmarkEnd w:id="32"/>
    <w:bookmarkStart w:id="33" w:name="X89a2f5273a9a5e8c0d1bbe2f05f5b07734cbd2a"/>
    <w:p>
      <w:pPr>
        <w:pStyle w:val="Heading2"/>
      </w:pPr>
      <w:r>
        <w:t xml:space="preserve">5. Implementation Roadmap for Netherlands Amsterdam</w:t>
      </w:r>
    </w:p>
    <w:p>
      <w:pPr>
        <w:pStyle w:val="FirstParagraph"/>
      </w:pPr>
      <w:r>
        <w:t xml:space="preserve">The successful execution of these strategies requires a phased approach:</w:t>
      </w:r>
    </w:p>
    <w:p>
      <w:pPr>
        <w:numPr>
          <w:ilvl w:val="0"/>
          <w:numId w:val="1002"/>
        </w:numPr>
        <w:pStyle w:val="Compact"/>
      </w:pPr>
      <w:r>
        <w:rPr>
          <w:bCs/>
          <w:b/>
        </w:rPr>
        <w:t xml:space="preserve">Phase 1 (Months 1-6):</w:t>
      </w:r>
      <w:r>
        <w:t xml:space="preserve">Audit current staffing levels and housing costs in target Amsterdam neighborhoods. Establish partnerships with local housing corporations.</w:t>
      </w:r>
    </w:p>
    <w:p>
      <w:pPr>
        <w:numPr>
          <w:ilvl w:val="0"/>
          <w:numId w:val="1002"/>
        </w:numPr>
        <w:pStyle w:val="Compact"/>
      </w:pPr>
      <w:r>
        <w:t xml:space="preserve">Phase 2 (Months 7-12):Pilot the new intercultural training modules in five partner schools within Netherlands Amsterdam. Gather feedback from Teacher Primary participants.</w:t>
      </w:r>
    </w:p>
    <w:p>
      <w:pPr>
        <w:numPr>
          <w:ilvl w:val="0"/>
          <w:numId w:val="1002"/>
        </w:numPr>
        <w:pStyle w:val="Compact"/>
      </w:pPr>
      <w:r>
        <w:rPr>
          <w:bCs/>
          <w:b/>
        </w:rPr>
        <w:t xml:space="preserve">Phase 3 (Months 13-24):</w:t>
      </w:r>
      <w:r>
        <w:t xml:space="preserve">Fully roll out recruitment incentives and digital tools across all primary schools in the city, with a specific focus on high-need districts.</w:t>
      </w:r>
    </w:p>
    <w:bookmarkEnd w:id="33"/>
    <w:bookmarkStart w:id="34" w:name="expected-outcomes"/>
    <w:p>
      <w:pPr>
        <w:pStyle w:val="Heading2"/>
      </w:pPr>
      <w:r>
        <w:t xml:space="preserve">6. Expected Outcomes</w:t>
      </w:r>
    </w:p>
    <w:p>
      <w:pPr>
        <w:pStyle w:val="FirstParagraph"/>
      </w:pPr>
      <w:r>
        <w:br/>
      </w:r>
      <w:r>
        <w:t xml:space="preserve">If implemented effectively, this Project Report’s recommendations are expected to yield significant improvements:</w:t>
      </w:r>
      <w:r>
        <w:br/>
      </w:r>
    </w:p>
    <w:p>
      <w:pPr>
        <w:numPr>
          <w:ilvl w:val="0"/>
          <w:numId w:val="1003"/>
        </w:numPr>
        <w:pStyle w:val="Compact"/>
      </w:pPr>
      <w:r>
        <w:rPr>
          <w:bCs/>
          <w:b/>
        </w:rPr>
        <w:t xml:space="preserve">Retention Rates:</w:t>
      </w:r>
      <w:r>
        <w:t xml:space="preserve">A projected 15-20% increase in teacher retention over three years.</w:t>
      </w:r>
    </w:p>
    <w:p>
      <w:pPr>
        <w:numPr>
          <w:ilvl w:val="0"/>
          <w:numId w:val="1003"/>
        </w:numPr>
        <w:pStyle w:val="Compact"/>
      </w:pPr>
      <w:r>
        <w:rPr>
          <w:bCs/>
          <w:b/>
        </w:rPr>
        <w:t xml:space="preserve">Student Performance:</w:t>
      </w:r>
      <w:r>
        <w:t xml:space="preserve">Closed achievement gaps between native Dutch students and those from minority backgrounds, particularly in early literacy development.</w:t>
      </w:r>
    </w:p>
    <w:p>
      <w:pPr>
        <w:numPr>
          <w:ilvl w:val="0"/>
          <w:numId w:val="1003"/>
        </w:numPr>
        <w:pStyle w:val="Compact"/>
      </w:pPr>
      <w:r>
        <w:br/>
      </w:r>
      <w:r>
        <w:t xml:space="preserve">Educator Well-being:</w:t>
      </w:r>
      <w:r>
        <w:br/>
      </w:r>
      <w:r>
        <w:t xml:space="preserve">Reduced burnout rates among Teacher Primary professionals due to better support systems and manageable workloads.</w:t>
      </w:r>
    </w:p>
    <w:p>
      <w:pPr>
        <w:pStyle w:val="FirstParagraph"/>
      </w:pPr>
      <w:r>
        <w:br/>
      </w:r>
    </w:p>
    <w:bookmarkEnd w:id="34"/>
    <w:bookmarkStart w:id="36" w:name="conclusion"/>
    <w:p>
      <w:pPr>
        <w:pStyle w:val="Heading2"/>
      </w:pPr>
      <w:r>
        <w:t xml:space="preserve">7. Conclusion</w:t>
      </w:r>
    </w:p>
    <w:p>
      <w:pPr>
        <w:pStyle w:val="FirstParagraph"/>
      </w:pPr>
      <w:r>
        <w:br/>
      </w:r>
      <w:r>
        <w:t xml:space="preserve">The future of Netherlands Amsterdam’s education sector hinges on the quality and stability of its primary teachers. This Project Report underscores that supporting Teacher Primary educators is not just an HR issue but a fundamental social imperative. By addressing the unique urban challenges of Amsterdam, through targeted recruitment, specialized training, and community integration, we can ensure that every child in this vibrant city receives a high-quality start in life.</w:t>
      </w:r>
      <w:r>
        <w:br/>
      </w:r>
    </w:p>
    <w:p>
      <w:pPr>
        <w:pStyle w:val="BodyText"/>
      </w:pPr>
      <w:r>
        <w:t xml:space="preserve">The collaboration between municipal government, educational institutions, and Teacher Primary professionals is essential. Only through a unified effort can Netherlands Amsterdam maintain its reputation as a leader in progressive and inclusive education.</w:t>
      </w:r>
    </w:p>
    <w:bookmarkStart w:id="35" w:name="references"/>
    <w:p>
      <w:pPr>
        <w:pStyle w:val="Heading3"/>
      </w:pPr>
      <w:r>
        <w:t xml:space="preserve">8. References</w:t>
      </w:r>
    </w:p>
    <w:p>
      <w:pPr>
        <w:pStyle w:val="FirstParagraph"/>
      </w:pPr>
      <w:r>
        <w:br/>
      </w:r>
    </w:p>
    <w:p>
      <w:pPr>
        <w:numPr>
          <w:ilvl w:val="0"/>
          <w:numId w:val="1004"/>
        </w:numPr>
        <w:pStyle w:val="Compact"/>
      </w:pPr>
      <w:r>
        <w:t xml:space="preserve">Dutch Ministry of Education, Culture and Science (OCW) Annual Reports on Primary Education.</w:t>
      </w:r>
    </w:p>
    <w:p>
      <w:pPr>
        <w:numPr>
          <w:ilvl w:val="0"/>
          <w:numId w:val="1004"/>
        </w:numPr>
        <w:pStyle w:val="Compact"/>
      </w:pPr>
      <w:r>
        <w:t xml:space="preserve">Municipality of Amsterdam: Integrated Safety and Social Cohesion Strategy 2023-2027.</w:t>
      </w:r>
    </w:p>
    <w:p>
      <w:pPr>
        <w:numPr>
          <w:ilvl w:val="0"/>
          <w:numId w:val="1004"/>
        </w:numPr>
        <w:pStyle w:val="Compact"/>
      </w:pPr>
      <w:r>
        <w:t xml:space="preserve">Netherlands Institute for Educational Measurement (CITO) Standardized Test Data Analysis.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Strategy in Netherlands Amsterdam</dc:title>
  <dc:creator/>
  <dc:language>en</dc:language>
  <cp:keywords/>
  <dcterms:created xsi:type="dcterms:W3CDTF">2026-07-30T02:15:26Z</dcterms:created>
  <dcterms:modified xsi:type="dcterms:W3CDTF">2026-07-30T02:15:26Z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