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20" w:name="Xe504090f48a25a5e7d2cf9b9572da1d21d05cd9"/>
    <w:p>
      <w:pPr>
        <w:pStyle w:val="Heading1"/>
      </w:pPr>
      <w:r>
        <w:rPr>
          <w:bCs/>
          <w:b/>
        </w:rPr>
        <w:t xml:space="preserve">A Comprehensive Project Report on Teacher Primary Education Initiatives in South Africa, Johannesburg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To:</w:t>
      </w:r>
      <w:r>
        <w:t xml:space="preserve"> </w:t>
      </w:r>
      <w:r>
        <w:t xml:space="preserve">Provincial Department of Education, Gauteng</w:t>
      </w:r>
      <w:r>
        <w:br/>
      </w:r>
      <w:r>
        <w:rPr>
          <w:iCs/>
          <w:i/>
        </w:rPr>
        <w:t xml:space="preserve">From:</w:t>
      </w:r>
      <w:r>
        <w:t xml:space="preserve"> </w:t>
      </w:r>
      <w:r>
        <w:t xml:space="preserve">Strategic Planning Committee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Teacher Primary in South Africa Johannesburg</dc:title>
  <dc:creator/>
  <dc:language>en</dc:language>
  <cp:keywords/>
  <dcterms:created xsi:type="dcterms:W3CDTF">2026-09-28T07:45:49Z</dcterms:created>
  <dcterms:modified xsi:type="dcterms:W3CDTF">2026-09-28T07:45:49Z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