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Australia</w:t>
      </w:r>
      <w:r>
        <w:t xml:space="preserve"> </w:t>
      </w:r>
      <w:r>
        <w:t xml:space="preserve">Brisbane</w:t>
      </w:r>
    </w:p>
    <w:bookmarkStart w:id="37" w:name="project-report"/>
    <w:p>
      <w:pPr>
        <w:pStyle w:val="Heading1"/>
      </w:pPr>
      <w:r>
        <w:t xml:space="preserve">Project Report</w:t>
      </w:r>
    </w:p>
    <w:bookmarkStart w:id="36" w:name="X6c1ff8b29997e17f6ffb64028a8c2422582e6f0"/>
    <w:p>
      <w:pPr>
        <w:pStyle w:val="Heading2"/>
      </w:pPr>
      <w:r>
        <w:t xml:space="preserve">Strategic Implementation of Teacher Secondary Roles in Australia Brisbane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Education Leadership, Queensland Government</w:t>
      </w:r>
    </w:p>
    <w:p>
      <w:pPr>
        <w:pStyle w:val="BodyText"/>
      </w:pPr>
      <w:r>
        <w:t xml:space="preserve">From:The following document details the critical analysis and strategic roadmap for enhancing the secondary teacher workforce in Brisbane.</w:t>
      </w:r>
    </w:p>
    <w:bookmarkStart w:id="20" w:name="executive-summary"/>
    <w:p>
      <w:pPr>
        <w:pStyle w:val="Heading3"/>
      </w:pPr>
      <w:r>
        <w:t xml:space="preserve">1. Executive Summary</w:t>
      </w:r>
    </w:p>
    <w:p>
      <w:pPr>
        <w:pStyle w:val="FirstParagraph"/>
      </w:pPr>
      <w:r>
        <w:t xml:space="preserve">This Project Report serves as a comprehensive analysis of the current landscape regarding Teacher Secondary education roles within Australia, specifically focusing on the metropolitan hub of Australia Brisbane. As Brisbane continues to experience rapid population growth and urban expansion, the demand for high-quality secondary education has intensified. The primary objective of this report is to outline strategies for recruiting, retaining, and supporting secondary teachers who are essential for maintaining educational excellence in Queensland.</w:t>
      </w:r>
    </w:p>
    <w:p>
      <w:pPr>
        <w:pStyle w:val="BodyText"/>
      </w:pPr>
      <w:r>
        <w:t xml:space="preserve">The report highlights that while Australia Brisbane offers a desirable lifestyle and robust economic prospects, the competitive nature of the global education market requires targeted interventions. By addressing systemic challenges such as burnout, diversity requirements, and technological integration, we aim to create a sustainable pipeline for Teacher Secondary professionals dedicated to shaping the future of Brisbane’s youth.</w:t>
      </w:r>
    </w:p>
    <w:bookmarkEnd w:id="20"/>
    <w:bookmarkStart w:id="24" w:name="contextual-background"/>
    <w:bookmarkStart w:id="23" w:name="Xaf077af7ed112f6ca61d06496e64211bd5e1a19"/>
    <w:p>
      <w:pPr>
        <w:pStyle w:val="Heading3"/>
      </w:pPr>
      <w:r>
        <w:t xml:space="preserve">2. Contextual Background: The Brisbane Landscape</w:t>
      </w:r>
    </w:p>
    <w:p>
      <w:pPr>
        <w:pStyle w:val="FirstParagraph"/>
      </w:pPr>
      <w:r>
        <w:t xml:space="preserve">Brisbane, the capital city of Queensland, stands as a critical node in Australia’s educational infrastructure. Known for its subtropical climate and growing tech-savvy economy, the city attracts families from across the nation and abroad. Consequently, secondary schools in Australia Brisbane are experiencing unprecedented demographic shifts.</w:t>
      </w:r>
    </w:p>
    <w:bookmarkStart w:id="21" w:name="demographic-pressure"/>
    <w:p>
      <w:pPr>
        <w:pStyle w:val="Heading4"/>
      </w:pPr>
      <w:r>
        <w:t xml:space="preserve">2.1 Demographic Pressure</w:t>
      </w:r>
    </w:p>
    <w:p>
      <w:pPr>
        <w:pStyle w:val="FirstParagraph"/>
      </w:pPr>
      <w:r>
        <w:t xml:space="preserve">The population of Brisbane has seen a steady increase over the last decade, driven by both natural growth and migration. This demographic surge places significant pressure on secondary school infrastructure and staffing. The need for Teacher Secondary professionals is not merely quantitative but qualitative; educators must be equipped to handle diverse learning needs arising from culturally and linguistically diverse (CALD) backgrounds.</w:t>
      </w:r>
    </w:p>
    <w:bookmarkEnd w:id="21"/>
    <w:bookmarkStart w:id="22" w:name="educational-standards-in-australia"/>
    <w:p>
      <w:pPr>
        <w:pStyle w:val="Heading4"/>
      </w:pPr>
      <w:r>
        <w:t xml:space="preserve">2.2 Educational Standards in Australia</w:t>
      </w:r>
    </w:p>
    <w:p>
      <w:pPr>
        <w:pStyle w:val="FirstParagraph"/>
      </w:pPr>
      <w:r>
        <w:t xml:space="preserve">In the broader context of Australia, secondary education is governed by the Australian Curriculum, Assessment and Reporting Authority (ACARA). However, implementation varies by state. In Queensland, schools adhere to the Queensland Curriculum and Assessment Authority (QCAA) standards. Teacher Secondary professionals in Brisbane must navigate this dual framework, ensuring that their pedagogical approaches meet national standards while satisfying local curriculum requirements.</w:t>
      </w:r>
    </w:p>
    <w:bookmarkEnd w:id="22"/>
    <w:bookmarkEnd w:id="23"/>
    <w:bookmarkEnd w:id="24"/>
    <w:bookmarkStart w:id="29" w:name="strategic-priorities"/>
    <w:bookmarkStart w:id="28" w:name="X4492d10f9fa40ee724201fc7b01dbeba9fad3ae"/>
    <w:p>
      <w:pPr>
        <w:pStyle w:val="Heading3"/>
      </w:pPr>
      <w:r>
        <w:t xml:space="preserve">3. Strategic Priorities for Teacher Secondary Recruitment and Retention</w:t>
      </w:r>
    </w:p>
    <w:bookmarkStart w:id="25" w:name="X56d7e4f52e47ab424ebbef2942f8e5d0ffc3e63"/>
    <w:p>
      <w:pPr>
        <w:pStyle w:val="Heading4"/>
      </w:pPr>
      <w:r>
        <w:t xml:space="preserve">3.1 Enhancing Attractiveness of the Profession</w:t>
      </w:r>
    </w:p>
    <w:p>
      <w:pPr>
        <w:pStyle w:val="FirstParagraph"/>
      </w:pPr>
      <w:r>
        <w:t xml:space="preserve">To attract top-tier Talent to become Teacher Secondary professionals in Australia Brisbane, it is essential to rebrand the profession. This involves highlighting the unique benefits of teaching in Brisbane, including access to world-class research institutions, collaborative professional networks, and a high quality of life. Marketing campaigns should focus on work-life balance opportunities and the supportive community structures found in many Brisbane schools.</w:t>
      </w:r>
    </w:p>
    <w:bookmarkEnd w:id="25"/>
    <w:bookmarkStart w:id="26" w:name="addressing-workload-and-burnout"/>
    <w:p>
      <w:pPr>
        <w:pStyle w:val="Heading4"/>
      </w:pPr>
      <w:r>
        <w:t xml:space="preserve">3.2 Addressing Workload and Burnout</w:t>
      </w:r>
    </w:p>
    <w:p>
      <w:pPr>
        <w:pStyle w:val="FirstParagraph"/>
      </w:pPr>
      <w:r>
        <w:t xml:space="preserve">Burnout remains a critical issue facing Teacher Secondary staff globally, including in Australia. Long working hours, administrative burdens, and emotional stress contribute to high turnover rates. This Project Report recommends the implementation of structured workload management policies across all secondary schools in Brisbane. By reducing non-teaching responsibilities and providing adequate mental health support resources, we can improve job satisfaction and retention rates.</w:t>
      </w:r>
    </w:p>
    <w:bookmarkEnd w:id="26"/>
    <w:bookmarkStart w:id="27" w:name="professional-development-pd-pathways"/>
    <w:p>
      <w:pPr>
        <w:pStyle w:val="Heading4"/>
      </w:pPr>
      <w:r>
        <w:t xml:space="preserve">3.3 Professional Development (PD) Pathways</w:t>
      </w:r>
    </w:p>
    <w:p>
      <w:pPr>
        <w:pStyle w:val="FirstParagraph"/>
      </w:pPr>
      <w:r>
        <w:t xml:space="preserve">Ongoing professional development is vital for Teacher Secondary educators to remain current with pedagogical trends. In Brisbane, there is a strong emphasis on integrating digital literacy into the classroom. PD programs should focus on:</w:t>
      </w:r>
    </w:p>
    <w:p>
      <w:pPr>
        <w:numPr>
          <w:ilvl w:val="0"/>
          <w:numId w:val="1001"/>
        </w:numPr>
        <w:pStyle w:val="Compact"/>
      </w:pPr>
      <w:r>
        <w:rPr>
          <w:bCs/>
          <w:b/>
        </w:rPr>
        <w:t xml:space="preserve">Digital Integration:</w:t>
      </w:r>
      <w:r>
        <w:t xml:space="preserve"> </w:t>
      </w:r>
      <w:r>
        <w:t xml:space="preserve">Training teachers in using AI-driven educational tools and virtual learning environments.</w:t>
      </w:r>
    </w:p>
    <w:p>
      <w:pPr>
        <w:numPr>
          <w:ilvl w:val="0"/>
          <w:numId w:val="1001"/>
        </w:numPr>
        <w:pStyle w:val="Compact"/>
      </w:pPr>
      <w:r>
        <w:rPr>
          <w:bCs/>
          <w:b/>
        </w:rPr>
        <w:t xml:space="preserve">Inclusive Practices:</w:t>
      </w:r>
      <w:r>
        <w:t xml:space="preserve"> </w:t>
      </w:r>
      <w:r>
        <w:t xml:space="preserve">Strategies for supporting students with disabilities and diverse learning needs.</w:t>
      </w:r>
    </w:p>
    <w:p>
      <w:pPr>
        <w:numPr>
          <w:ilvl w:val="0"/>
          <w:numId w:val="1001"/>
        </w:numPr>
        <w:pStyle w:val="Compact"/>
      </w:pPr>
      <w:r>
        <w:rPr>
          <w:bCs/>
          <w:b/>
        </w:rPr>
        <w:t xml:space="preserve">Mental Health Support:</w:t>
      </w:r>
      <w:r>
        <w:t xml:space="preserve"> </w:t>
      </w:r>
      <w:r>
        <w:t xml:space="preserve">Equipping teachers to identify and support students facing mental health challenges, a growing concern in post-pandemic Australia.</w:t>
      </w:r>
    </w:p>
    <w:bookmarkEnd w:id="27"/>
    <w:bookmarkEnd w:id="28"/>
    <w:bookmarkEnd w:id="29"/>
    <w:bookmarkStart w:id="34" w:name="challenges-and-mitigation"/>
    <w:bookmarkStart w:id="33" w:name="challenges-and-mitigation-strategies"/>
    <w:p>
      <w:pPr>
        <w:pStyle w:val="Heading3"/>
      </w:pPr>
      <w:r>
        <w:t xml:space="preserve">4. Challenges and Mitigation Strategies</w:t>
      </w:r>
    </w:p>
    <w:bookmarkStart w:id="30" w:name="Xb4921376c315bb274605f17d52bfa3cbd2d2fce"/>
    <w:p>
      <w:pPr>
        <w:pStyle w:val="Heading4"/>
      </w:pPr>
      <w:r>
        <w:t xml:space="preserve">4.1 Rural-Urban Divide within Greater Brisbane</w:t>
      </w:r>
    </w:p>
    <w:p>
      <w:pPr>
        <w:pStyle w:val="FirstParagraph"/>
      </w:pPr>
      <w:r>
        <w:t xml:space="preserve">Australia Brisbane is not monolithic; it encompasses both dense inner-city suburbs and sprawling outer-ring developments, some of which border regional areas. Schools in these outer-ring communities often struggle to attract experienced Teacher Secondary staff due to perceived isolation or longer commute times. To mitigate this, the project proposes a "Hard-to-Staff" incentive package for teachers willing to relocate to these specific zones within Brisbane.</w:t>
      </w:r>
    </w:p>
    <w:bookmarkEnd w:id="30"/>
    <w:bookmarkStart w:id="31" w:name="diversity-and-inclusion"/>
    <w:p>
      <w:pPr>
        <w:pStyle w:val="Heading4"/>
      </w:pPr>
      <w:r>
        <w:t xml:space="preserve">4.2 Diversity and Inclusion</w:t>
      </w:r>
    </w:p>
    <w:p>
      <w:pPr>
        <w:pStyle w:val="FirstParagraph"/>
      </w:pPr>
      <w:r>
        <w:t xml:space="preserve">Australia’s commitment to diversity is reflected in its schools, yet the teaching workforce does not always reflect this demographic reality. It is crucial that Teacher Secondary professionals in Brisbane represent the diverse backgrounds of their student body. Initiatives to support Indigenous educators and teachers from CALD backgrounds are essential. Mentorship programs pairing novice teachers with experienced mentors can facilitate cultural competency and professional growth.</w:t>
      </w:r>
    </w:p>
    <w:bookmarkEnd w:id="31"/>
    <w:bookmarkStart w:id="32" w:name="technological-infrastructure"/>
    <w:p>
      <w:pPr>
        <w:pStyle w:val="Heading4"/>
      </w:pPr>
      <w:r>
        <w:t xml:space="preserve">4.3 Technological Infrastructure</w:t>
      </w:r>
    </w:p>
    <w:p>
      <w:pPr>
        <w:pStyle w:val="FirstParagraph"/>
      </w:pPr>
      <w:r>
        <w:t xml:space="preserve">The rapid adoption of technology in education requires significant infrastructure investment. While Brisbane is a smart city, not all secondary schools have equal access to high-speed connectivity and modern devices. This Project Report urges the allocation of dedicated funds to ensure that every Teacher Secondary educator has the tools necessary for effective digital pedagogy.</w:t>
      </w:r>
    </w:p>
    <w:bookmarkEnd w:id="32"/>
    <w:bookmarkEnd w:id="33"/>
    <w:bookmarkEnd w:id="34"/>
    <w:bookmarkStart w:id="35" w:name="implementation-plan"/>
    <w:p>
      <w:pPr>
        <w:pStyle w:val="Heading3"/>
      </w:pPr>
      <w:r>
        <w:t xml:space="preserve">5. Implementation Plan</w:t>
      </w:r>
    </w:p>
    <w:p>
      <w:pPr>
        <w:pStyle w:val="FirstParagraph"/>
      </w:pPr>
      <w:r>
        <w:rPr>
          <w:bCs/>
          <w:b/>
        </w:rPr>
        <w:t xml:space="preserve">Phase</w:t>
      </w:r>
    </w:p>
    <w:bookmarkEnd w:id="35"/>
    <w:bookmarkEnd w:id="36"/>
    <w:bookmarkEnd w:id="37"/>
    <w:p>
      <w:pPr>
        <w:pStyle w:val="BodyText"/>
      </w:pPr>
      <w:r>
        <w:rPr>
          <w:bCs/>
          <w:b/>
        </w:rPr>
        <w:t xml:space="preserve">Action Item</w:t>
      </w:r>
    </w:p>
    <w:p>
      <w:pPr>
        <w:pStyle w:val="BodyText"/>
      </w:pPr>
      <w:r>
        <w:rPr>
          <w:bCs/>
          <w:b/>
        </w:rPr>
        <w:t xml:space="preserve">Timeline</w:t>
      </w:r>
    </w:p>
    <w:p>
      <w:pPr>
        <w:pStyle w:val="BodyText"/>
      </w:pPr>
      <w:r>
        <w:t xml:space="preserve">KPI (Key Performance Indicator)Success Metric) Style="color: #555; font-style: italic;"&gt;Outcome Measure)</w:t>
      </w:r>
    </w:p>
    <w:p>
      <w:pPr>
        <w:pStyle w:val="BodyText"/>
      </w:pPr>
      <w:r>
        <w:t xml:space="preserve">Phase 1</w:t>
      </w:r>
    </w:p>
    <w:p>
      <w:pPr>
        <w:pStyle w:val="BodyText"/>
      </w:pPr>
      <w:r>
        <w:t xml:space="preserve">Audit current Teacher Secondary staffing levels in Australia Brisbane schools.</w:t>
      </w:r>
    </w:p>
    <w:p>
      <w:pPr>
        <w:pStyle w:val="BodyText"/>
      </w:pPr>
      <w:r>
        <w:t xml:space="preserve">Months 1-3</w:t>
      </w:r>
    </w:p>
    <w:p>
      <w:pPr>
        <w:pStyle w:val="BodyText"/>
      </w:pPr>
      <w:r>
        <w:t xml:space="preserve">Completion of workforce gap analysis.Completion of workforce gap analysis.</w:t>
      </w:r>
    </w:p>
    <w:p>
      <w:pPr>
        <w:pStyle w:val="BodyText"/>
      </w:pPr>
      <w:r>
        <w:t xml:space="preserve">Phase 2</w:t>
      </w:r>
    </w:p>
    <w:p>
      <w:pPr>
        <w:pStyle w:val="BodyText"/>
      </w:pPr>
      <w:r>
        <w:t xml:space="preserve">Retail Launch Targeted Recruitment Campaigns for Teacher Secondary roles.</w:t>
      </w:r>
    </w:p>
    <w:p>
      <w:pPr>
        <w:pStyle w:val="BodyText"/>
      </w:pPr>
      <w:r>
        <w:t xml:space="preserve">30% increase in applications for vacant positions.30% increase in applications for vacant positions.</w:t>
      </w:r>
    </w:p>
    <w:p>
      <w:pPr>
        <w:pStyle w:val="BodyText"/>
      </w:pPr>
      <w:r>
        <w:t xml:space="preserve">Phase 2</w:t>
      </w:r>
    </w:p>
    <w:p>
      <w:pPr>
        <w:pStyle w:val="BodyText"/>
      </w:pPr>
      <w:r>
        <w:t xml:space="preserve">Implementation of new PD modules on Digital Pedagogy.</w:t>
      </w:r>
    </w:p>
    <w:p>
      <w:pPr>
        <w:pStyle w:val="BodyText"/>
      </w:pPr>
      <w:r>
        <w:br/>
      </w:r>
      <w:r>
        <w:br/>
      </w:r>
      <w:r>
        <w:t xml:space="preserve">Mentorship Program Launch for New Teacher Secondary Staff in Brisbane.</w:t>
      </w:r>
    </w:p>
    <w:p>
      <w:pPr>
        <w:pStyle w:val="BodyText"/>
      </w:pPr>
      <w:r>
        <w:br/>
      </w:r>
      <w:r>
        <w:t xml:space="preserve">90% participation rate among new hires.</w:t>
      </w:r>
      <w:r>
        <w:t xml:space="preserve">90% participation rate among new hires.</w:t>
      </w:r>
    </w:p>
    <w:bookmarkStart w:id="38" w:name="conclusion"/>
    <w:p>
      <w:pPr>
        <w:pStyle w:val="Heading3"/>
      </w:pPr>
      <w:r>
        <w:t xml:space="preserve">6. Conclusion</w:t>
      </w:r>
    </w:p>
    <w:p>
      <w:pPr>
        <w:pStyle w:val="FirstParagraph"/>
      </w:pPr>
      <w:r>
        <w:t xml:space="preserve">The future of secondary education in Australia relies heavily on the quality and stability of its teaching workforce. Specifically for Australia Brisbane, a city on the brink of significant demographic and economic growth, ensuring an adequate supply of qualified Teacher Secondary professionals is not optional—it is imperative.</w:t>
      </w:r>
    </w:p>
    <w:p>
      <w:pPr>
        <w:pStyle w:val="BodyText"/>
      </w:pPr>
      <w:r>
        <w:t xml:space="preserve">This Project Report has outlined a holistic approach to addressing staffing challenges through targeted recruitment, robust support systems, and continuous professional development. By investing in Teacher Secondary educators today, Australia Brisbane will secure the educational outcomes and social cohesion required for tomorrow. The recommendations provided herein serve as a blueprint for action, urging stakeholders to collaborate closely with schools, universities, and government bodies to realize these goals.</w:t>
      </w:r>
    </w:p>
    <w:p>
      <w:pPr>
        <w:pStyle w:val="BodyText"/>
      </w:pPr>
      <w:r>
        <w:t xml:space="preserve">Ultimately, the success of this initiative will be measured not just in statistics of hiring or retention, but in the improved educational experiences and future opportunities afforded to every student across Brisbane. It is through dedicated Teacher Secondary professionals that we empower the next generation to thrive in an increasingly complex world.</w:t>
      </w:r>
    </w:p>
    <w:bookmarkEnd w:id="38"/>
    <w:p>
      <w:pPr>
        <w:pStyle w:val="BodyText"/>
      </w:pPr>
      <w:r>
        <w:rPr>
          <w:bCs/>
          <w:b/>
        </w:rPr>
        <w:t xml:space="preserve">Contact Information:</w:t>
      </w:r>
    </w:p>
    <w:p>
      <w:pPr>
        <w:pStyle w:val="BodyText"/>
      </w:pPr>
      <w:r>
        <w:t xml:space="preserve">National Education Strategy Office</w:t>
      </w:r>
      <w:r>
        <w:br/>
      </w:r>
      <w:r>
        <w:t xml:space="preserve">Level 5, Brisbane CBD Headquarters</w:t>
      </w:r>
      <w:r>
        <w:br/>
      </w:r>
      <w:r>
        <w:t xml:space="preserve">Email: info@educationstrategy.gov.au</w:t>
      </w:r>
      <w:r>
        <w:br/>
      </w:r>
      <w:r>
        <w:rPr>
          <w:iCs/>
          <w:i/>
        </w:rPr>
        <w:t xml:space="preserve">© 2023 All Rights Reserved. This document is for official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Australia Brisbane</dc:title>
  <dc:creator/>
  <dc:language>en</dc:language>
  <cp:keywords/>
  <dcterms:created xsi:type="dcterms:W3CDTF">2026-07-29T16:37:31Z</dcterms:created>
  <dcterms:modified xsi:type="dcterms:W3CDTF">2026-07-29T16:37:31Z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