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Secondary</w:t>
      </w:r>
      <w:r>
        <w:t xml:space="preserve"> </w:t>
      </w:r>
      <w:r>
        <w:t xml:space="preserve">Teacher</w:t>
      </w:r>
      <w:r>
        <w:t xml:space="preserve"> </w:t>
      </w:r>
      <w:r>
        <w:t xml:space="preserve">Recruitment</w:t>
      </w:r>
      <w:r>
        <w:t xml:space="preserve"> </w:t>
      </w:r>
      <w:r>
        <w:t xml:space="preserve">and</w:t>
      </w:r>
      <w:r>
        <w:t xml:space="preserve"> </w:t>
      </w:r>
      <w:r>
        <w:t xml:space="preserve">Integration</w:t>
      </w:r>
      <w:r>
        <w:t xml:space="preserve"> </w:t>
      </w:r>
      <w:r>
        <w:t xml:space="preserve">Strategy</w:t>
      </w:r>
      <w:r>
        <w:t xml:space="preserve"> </w:t>
      </w:r>
      <w:r>
        <w:t xml:space="preserve">in</w:t>
      </w:r>
      <w:r>
        <w:t xml:space="preserve"> </w:t>
      </w:r>
      <w:r>
        <w:t xml:space="preserve">Melbourne</w:t>
      </w:r>
    </w:p>
    <w:bookmarkStart w:id="34" w:name="X17e0dd046a3496046bae93b5174d51b1e2040a6"/>
    <w:p>
      <w:pPr>
        <w:pStyle w:val="Heading1"/>
      </w:pPr>
      <w:r>
        <w:t xml:space="preserve">Project Report: Strategic Development of the Secondary Teacher Workforce in Australia, Melbourne</w:t>
      </w:r>
    </w:p>
    <w:p>
      <w:pPr>
        <w:pStyle w:val="FirstParagraph"/>
      </w:pPr>
      <w:r>
        <w:rPr>
          <w:bCs/>
          <w:b/>
        </w:rPr>
        <w:t xml:space="preserve">Date:</w:t>
      </w:r>
      <w:r>
        <w:br/>
      </w:r>
      <w:r>
        <w:t xml:space="preserve">October 24, 2023</w:t>
      </w:r>
      <w:r>
        <w:br/>
      </w:r>
      <w:r>
        <w:rPr>
          <w:bCs/>
          <w:b/>
        </w:rPr>
        <w:t xml:space="preserve">To:</w:t>
      </w:r>
      <w:r>
        <w:br/>
      </w:r>
      <w:r>
        <w:t xml:space="preserve">Department of Education Victoria Policy Committee</w:t>
      </w:r>
      <w:r>
        <w:br/>
      </w:r>
      <w:r>
        <w:rPr>
          <w:bCs/>
          <w:b/>
        </w:rPr>
        <w:t xml:space="preserve">From:</w:t>
      </w:r>
      <w:r>
        <w:br/>
      </w:r>
      <w:r>
        <w:t xml:space="preserve">Strategic Planning Unit</w:t>
      </w:r>
      <w:r>
        <w:br/>
      </w:r>
      <w:r>
        <w:rPr>
          <w:bCs/>
          <w:b/>
        </w:rPr>
        <w:t xml:space="preserve">Subject:</w:t>
      </w:r>
      <w:r>
        <w:br/>
      </w:r>
    </w:p>
    <w:bookmarkStart w:id="20" w:name="executive-summary"/>
    <w:p>
      <w:pPr>
        <w:pStyle w:val="Heading2"/>
      </w:pPr>
      <w:r>
        <w:t xml:space="preserve">1. Executive Summary</w:t>
      </w:r>
    </w:p>
    <w:p>
      <w:pPr>
        <w:pStyle w:val="FirstParagraph"/>
      </w:pPr>
      <w:r>
        <w:t xml:space="preserve">The purpose of this Project Report is to outline a comprehensive strategy addressing the critical need for high-quality secondary education professionals within the metropolitan region of Australia’s capital city, Melbourne. As Melbourne continues to experience rapid population growth and demographic shifts, the demand for specialized Secondary teachers has outpaced current supply levels. This report analyzes the current landscape of teacher shortages in Melbourne, identifies systemic barriers to retention, and proposes a multi-faceted approach to attract and sustain a robust workforce. The central thesis of this document is that ensuring educational excellence in Melbourne requires not only recruitment but also significant investment in professional support systems tailored specifically for Secondary educators.</w:t>
      </w:r>
    </w:p>
    <w:bookmarkEnd w:id="20"/>
    <w:bookmarkStart w:id="21" w:name="introduction-and-context"/>
    <w:p>
      <w:pPr>
        <w:pStyle w:val="Heading2"/>
      </w:pPr>
      <w:r>
        <w:t xml:space="preserve">2. Introduction and Context</w:t>
      </w:r>
    </w:p>
    <w:p>
      <w:pPr>
        <w:pStyle w:val="FirstParagraph"/>
      </w:pPr>
      <w:r>
        <w:t xml:space="preserve">Education serves as the backbone of societal development, and at its core lies the educator. In the context of Australia, specifically within the vibrant and diverse city of Melbourne, Secondary education plays a pivotal role in preparing students for higher education and future employment. Melbourne is renowned for its high-performing school system; however, this reputation is increasingly strained by chronic staff shortages in key learning areas such as mathematics, science, technology engineering (STEM), and modern languages.</w:t>
      </w:r>
      <w:r>
        <w:t xml:space="preserve"> </w:t>
      </w:r>
      <w:r>
        <w:t xml:space="preserve">The term "Teacher Secondary" refers specifically to educators working with adolescents aged approximately 13 to 18 years. This demographic requires unique pedagogical skills characterized by classroom management of larger groups, subject-specific expertise at advanced levels, and the ability to guide students through complex social and emotional transitions. In Australia Melbourne, where schools are often located in rapidly expanding suburban growth zones as well as established inner-city areas, the challenge is twofold: attracting candidates to less desirable locations and retaining them amidst high burnout rates.</w:t>
      </w:r>
    </w:p>
    <w:bookmarkEnd w:id="21"/>
    <w:bookmarkStart w:id="25" w:name="X1396f85e9d7d89602bb1183f1e3a4509e333cea"/>
    <w:p>
      <w:pPr>
        <w:pStyle w:val="Heading2"/>
      </w:pPr>
      <w:r>
        <w:t xml:space="preserve">3. Current Landscape: Challenges Facing Secondary Teachers in Melbourne</w:t>
      </w:r>
    </w:p>
    <w:bookmarkStart w:id="22" w:name="subject-specific-shortages"/>
    <w:p>
      <w:pPr>
        <w:pStyle w:val="Heading3"/>
      </w:pPr>
      <w:r>
        <w:t xml:space="preserve">3.1 Subject-Specific Shortages</w:t>
      </w:r>
    </w:p>
    <w:p>
      <w:pPr>
        <w:pStyle w:val="FirstParagraph"/>
      </w:pPr>
      <w:r>
        <w:t xml:space="preserve">Data from the Department of Education Victoria indicates a persistent deficit in specialist teachers for the Sciences and Mathematics. While generalist primary teachers are relatively abundant, finding qualified Secondary teachers who can deliver advanced HSC/VCE (Victorian Certificate of Education) content is increasingly difficult. This shortage forces schools to assign teaching duties to non-specialists, which compromises instructional quality and teacher confidence.</w:t>
      </w:r>
    </w:p>
    <w:bookmarkEnd w:id="22"/>
    <w:bookmarkStart w:id="23" w:name="workload-and-burnout"/>
    <w:p>
      <w:pPr>
        <w:pStyle w:val="Heading3"/>
      </w:pPr>
      <w:r>
        <w:t xml:space="preserve">3.2 Workload and Burnout</w:t>
      </w:r>
    </w:p>
    <w:p>
      <w:pPr>
        <w:pStyle w:val="FirstParagraph"/>
      </w:pPr>
      <w:r>
        <w:t xml:space="preserve">The professional environment for a Teacher Secondary in Melbourne has become increasingly demanding due to administrative bloat, increasing class sizes, and the complex needs of diverse student cohorts. Recent surveys highlight that workload management is the primary driver of attrition among early-career secondary teachers in Australia. Without adequate support structures, many promising educators leave the profession within their first five years.</w:t>
      </w:r>
    </w:p>
    <w:bookmarkEnd w:id="23"/>
    <w:bookmarkStart w:id="24" w:name="regional-disparities"/>
    <w:p>
      <w:pPr>
        <w:pStyle w:val="Heading3"/>
      </w:pPr>
      <w:r>
        <w:t xml:space="preserve">3.3 Regional Disparities</w:t>
      </w:r>
    </w:p>
    <w:p>
      <w:pPr>
        <w:pStyle w:val="FirstParagraph"/>
      </w:pPr>
      <w:r>
        <w:t xml:space="preserve">Within the greater Melbourne area, there is a significant disparity between inner-city metropolitan schools and those in outer-ring suburbs or growth corridors. Outer-suburban schools often struggle to attract experienced Senior Secondary teachers due to commuting distances and perceived lack of professional development opportunities compared to their CBD counterparts.</w:t>
      </w:r>
    </w:p>
    <w:bookmarkEnd w:id="24"/>
    <w:bookmarkEnd w:id="25"/>
    <w:bookmarkStart w:id="26" w:name="strategic-objectives"/>
    <w:p>
      <w:pPr>
        <w:pStyle w:val="Heading2"/>
      </w:pPr>
      <w:r>
        <w:t xml:space="preserve">4. Strategic Objectives</w:t>
      </w:r>
    </w:p>
    <w:p>
      <w:pPr>
        <w:pStyle w:val="FirstParagraph"/>
      </w:pPr>
      <w:r>
        <w:t xml:space="preserve">To address these challenges, this Project Report proposes three primary objectives for the Australian education sector in Melbourne:</w:t>
      </w:r>
      <w:r>
        <w:t xml:space="preserve"> </w:t>
      </w:r>
      <w:r>
        <w:t xml:space="preserve">1.</w:t>
      </w:r>
      <w:r>
        <w:t xml:space="preserve"> </w:t>
      </w:r>
      <w:r>
        <w:rPr>
          <w:bCs/>
          <w:b/>
        </w:rPr>
        <w:t xml:space="preserve">Enhanced Recruitment Pathways:</w:t>
      </w:r>
      <w:r>
        <w:br/>
      </w:r>
      <w:r>
        <w:t xml:space="preserve">Creating targeted incentives and streamlined certification pathways to attract mid-career professionals from other industries into Secondary teaching roles, particularly in STEM fields.</w:t>
      </w:r>
      <w:r>
        <w:t xml:space="preserve"> </w:t>
      </w:r>
      <w:r>
        <w:t xml:space="preserve">2.</w:t>
      </w:r>
      <w:r>
        <w:t xml:space="preserve"> </w:t>
      </w:r>
      <w:r>
        <w:rPr>
          <w:bCs/>
          <w:b/>
        </w:rPr>
        <w:t xml:space="preserve">Reticence Frameworks:</w:t>
      </w:r>
      <w:r>
        <w:br/>
      </w:r>
      <w:r>
        <w:t xml:space="preserve">Implementing comprehensive wellbeing and mentorship programs designed specifically for the unique pressures faced by Secondary teachers in Melbourne schools.</w:t>
      </w:r>
      <w:r>
        <w:t xml:space="preserve"> </w:t>
      </w:r>
      <w:r>
        <w:t xml:space="preserve">3.</w:t>
      </w:r>
      <w:r>
        <w:t xml:space="preserve"> </w:t>
      </w:r>
      <w:r>
        <w:rPr>
          <w:bCs/>
          <w:b/>
        </w:rPr>
        <w:t xml:space="preserve">Digital and Pedagogical Integration:</w:t>
      </w:r>
      <w:r>
        <w:br/>
      </w:r>
      <w:r>
        <w:t xml:space="preserve">Investing in modern classroom technologies that reduce administrative burden and enhance engagement, making the role of a Teacher Secondary more dynamic and less reliant on traditional rote instruction methods.</w:t>
      </w:r>
    </w:p>
    <w:bookmarkEnd w:id="26"/>
    <w:bookmarkStart w:id="30" w:name="proposed-initiatives-for-implementation"/>
    <w:p>
      <w:pPr>
        <w:pStyle w:val="Heading2"/>
      </w:pPr>
      <w:r>
        <w:t xml:space="preserve">5. Proposed Initiatives for Implementation</w:t>
      </w:r>
    </w:p>
    <w:bookmarkStart w:id="27" w:name="X11cf82619eac93cc601fd57437250216dcab33f"/>
    <w:p>
      <w:pPr>
        <w:pStyle w:val="Heading3"/>
      </w:pPr>
      <w:r>
        <w:t xml:space="preserve">5.1 The Melbourne Secondary Teacher Fellowship Program</w:t>
      </w:r>
    </w:p>
    <w:p>
      <w:pPr>
        <w:pStyle w:val="FirstParagraph"/>
      </w:pPr>
      <w:r>
        <w:t xml:space="preserve">We propose the establishment of a fellowship program modeled after successful international frameworks but adapted for the Australian context. This initiative would offer financial bonuses and reduced teaching hours during the first three years of service for teachers who commit to working in identified shortage areas or high-need schools in Melbourne’s outer suburbs. By acknowledging the geographical challenges within Australia Melbourne, this initiative aims to balance the distribution of talent across all postcodes.</w:t>
      </w:r>
    </w:p>
    <w:bookmarkEnd w:id="27"/>
    <w:bookmarkStart w:id="28" w:name="collaborative-professional-communities"/>
    <w:p>
      <w:pPr>
        <w:pStyle w:val="Heading3"/>
      </w:pPr>
      <w:r>
        <w:t xml:space="preserve">5.2 Collaborative Professional Communities</w:t>
      </w:r>
    </w:p>
    <w:p>
      <w:pPr>
        <w:pStyle w:val="FirstParagraph"/>
      </w:pPr>
      <w:r>
        <w:t xml:space="preserve">Secondary teaching can often be isolating due to departmental silos. We recommend creating cross-school professional learning communities (PLCs) for Secondary teachers in Melbourne. These digital and physical hubs would allow teachers of similar subjects across different schools to share resources, discuss pedagogical strategies, and provide peer support. This collaboration not only improves instructional quality but also fosters a sense of belonging and professional community, which is crucial for retention.</w:t>
      </w:r>
    </w:p>
    <w:bookmarkEnd w:id="28"/>
    <w:bookmarkStart w:id="29" w:name="X8f15c45ee6fc30d32b1981fd96af9f3fe6fec52"/>
    <w:p>
      <w:pPr>
        <w:pStyle w:val="Heading3"/>
      </w:pPr>
      <w:r>
        <w:t xml:space="preserve">5.3 Advanced Credentialing in Adolescent Psychology</w:t>
      </w:r>
    </w:p>
    <w:p>
      <w:pPr>
        <w:pStyle w:val="FirstParagraph"/>
      </w:pPr>
      <w:r>
        <w:t xml:space="preserve">Given the developmental stage of secondary students, this report recommends mandating specialized training in adolescent psychology and mental health first aid for all Teacher Secondary candidates in Australia. Understanding the socio-emotional drivers of teenage behavior will empower educators to manage classrooms more effectively and build stronger relationships with students, thereby reducing disciplinary issues and improving overall school climate.</w:t>
      </w:r>
    </w:p>
    <w:bookmarkEnd w:id="29"/>
    <w:bookmarkEnd w:id="30"/>
    <w:bookmarkStart w:id="31" w:name="expected-outcomes"/>
    <w:p>
      <w:pPr>
        <w:pStyle w:val="Heading2"/>
      </w:pPr>
      <w:r>
        <w:t xml:space="preserve">6. Expected Outcomes</w:t>
      </w:r>
    </w:p>
    <w:p>
      <w:pPr>
        <w:pStyle w:val="FirstParagraph"/>
      </w:pPr>
      <w:r>
        <w:t xml:space="preserve">The successful implementation of these strategies is projected to yield several measurable outcomes within a five-year timeframe for Australia Melbourne’s education sector. We anticipate a 15% reduction in vacancy rates for critical STEM subjects in Secondary schools. Furthermore, we expect a significant decrease in early-career attrition among Secondary teachers, attributed to the enhanced mentorship and wellbeing support structures. Finally, by diversifying the recruitment pool and improving working conditions, Melbourne can further solidify its status as a global leader in secondary education quality.</w:t>
      </w:r>
    </w:p>
    <w:bookmarkEnd w:id="31"/>
    <w:bookmarkStart w:id="32" w:name="conclusion"/>
    <w:p>
      <w:pPr>
        <w:pStyle w:val="Heading2"/>
      </w:pPr>
      <w:r>
        <w:t xml:space="preserve">7. Conclusion</w:t>
      </w:r>
    </w:p>
    <w:p>
      <w:pPr>
        <w:pStyle w:val="FirstParagraph"/>
      </w:pPr>
      <w:r>
        <w:t xml:space="preserve">In conclusion, the role of a Secondary teacher in Australia is not merely that of an instructor but of a mentor, disciplinarian, and future-shaper. The specific context of Melbourne presents unique opportunities and challenges that require tailored solutions. This Project Report emphasizes that addressing the needs of Secondary teachers is synonymous with addressing the quality of education for all Victorians. By investing in recruitment incentives, robust support systems, and specialized training, we can ensure that every student in Melbourne has access to passionate, skilled, and supported educators who are equipped to meet the demands of modern secondary education.</w:t>
      </w:r>
      <w:r>
        <w:t xml:space="preserve"> </w:t>
      </w:r>
      <w:r>
        <w:t xml:space="preserve">The path forward requires collaboration between government policymakers, school administrators, teacher unions, and the community. Only through a unified approach can we sustain a thriving educational environment for Secondary students across Australia Melbourne. It is imperative that action is taken promptly to secure the future of our teaching workforce and, by extension, our student body.</w:t>
      </w:r>
    </w:p>
    <w:bookmarkEnd w:id="32"/>
    <w:bookmarkStart w:id="33" w:name="recommendations"/>
    <w:p>
      <w:pPr>
        <w:pStyle w:val="Heading2"/>
      </w:pPr>
      <w:r>
        <w:t xml:space="preserve">8. Recommendations</w:t>
      </w:r>
    </w:p>
    <w:p>
      <w:pPr>
        <w:numPr>
          <w:ilvl w:val="0"/>
          <w:numId w:val="1001"/>
        </w:numPr>
        <w:pStyle w:val="Compact"/>
      </w:pPr>
      <w:r>
        <w:rPr>
          <w:bCs/>
          <w:b/>
        </w:rPr>
        <w:t xml:space="preserve">Immediate Action:</w:t>
      </w:r>
      <w:r>
        <w:br/>
      </w:r>
      <w:r>
        <w:t xml:space="preserve">Establish a working group comprising stakeholders from the Department of Education Victoria and teacher associations to refine the details of the Fellowship Program.</w:t>
      </w:r>
    </w:p>
    <w:p>
      <w:pPr>
        <w:numPr>
          <w:ilvl w:val="0"/>
          <w:numId w:val="1001"/>
        </w:numPr>
        <w:pStyle w:val="Compact"/>
      </w:pPr>
      <w:r>
        <w:rPr>
          <w:bCs/>
          <w:b/>
        </w:rPr>
        <w:t xml:space="preserve">Funding Allocation:</w:t>
      </w:r>
      <w:r>
        <w:br/>
      </w:r>
      <w:r>
        <w:t xml:space="preserve">Dedicate specific budget lines in the next fiscal year for Secondary teacher retention initiatives, ensuring funds are not diverted to other administrative purposes.</w:t>
      </w:r>
    </w:p>
    <w:p>
      <w:pPr>
        <w:numPr>
          <w:ilvl w:val="0"/>
          <w:numId w:val="1001"/>
        </w:numPr>
        <w:pStyle w:val="Compact"/>
      </w:pPr>
      <w:r>
        <w:rPr>
          <w:bCs/>
          <w:b/>
        </w:rPr>
        <w:t xml:space="preserve">Pilot Programs:</w:t>
      </w:r>
      <w:r>
        <w:br/>
      </w:r>
      <w:r>
        <w:t xml:space="preserve">Launch pilot versions of the Collaborative Professional Communities in three distinct Melbourne zones (Inner, Middle, and Outer) to test efficacy before statewide rollout.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Secondary Teacher Recruitment and Integration Strategy in Melbourne</dc:title>
  <dc:creator/>
  <dc:language>en</dc:language>
  <cp:keywords/>
  <dcterms:created xsi:type="dcterms:W3CDTF">2026-07-29T23:17:29Z</dcterms:created>
  <dcterms:modified xsi:type="dcterms:W3CDTF">2026-07-29T23:17:29Z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