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Vancouver</w:t>
      </w:r>
    </w:p>
    <w:bookmarkStart w:id="33" w:name="X71bca4a815e3bda47a5f487bdba8b69c2fd5173"/>
    <w:p>
      <w:pPr>
        <w:pStyle w:val="Heading1"/>
      </w:pPr>
      <w:r>
        <w:t xml:space="preserve">Comprehensive Project Report: Integrating the Teacher Secondary Role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Ministry of Education, District School Boards in British Columbia</w:t>
      </w:r>
      <w:r>
        <w:br/>
      </w:r>
      <w:r>
        <w:rPr>
          <w:bCs/>
          <w:b/>
        </w:rPr>
        <w:t xml:space="preserve">From:</w:t>
      </w:r>
      <w:r>
        <w:t xml:space="preserve"> </w:t>
      </w:r>
      <w:r>
        <w:t xml:space="preserve">Strategic Education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a strategic framework for establishing, supporting, and evaluating the role of the</w:t>
      </w:r>
      <w:r>
        <w:t xml:space="preserve"> </w:t>
      </w:r>
      <w:r>
        <w:rPr>
          <w:bCs/>
          <w:b/>
        </w:rPr>
        <w:t xml:space="preserve">Teacher Secondary</w:t>
      </w:r>
      <w:r>
        <w:t xml:space="preserve"> </w:t>
      </w:r>
      <w:r>
        <w:t xml:space="preserve">within the dynamic educational landscape of</w:t>
      </w:r>
      <w:r>
        <w:t xml:space="preserve"> </w:t>
      </w:r>
      <w:r>
        <w:rPr>
          <w:bCs/>
          <w:b/>
        </w:rPr>
        <w:t xml:space="preserve">Canada Vancouver</w:t>
      </w:r>
      <w:r>
        <w:t xml:space="preserve">. As British Columbia’s economy continues to grow and its population becomes increasingly diverse, the demand for high-quality secondary education has never been more critical. The province is experiencing a demographic shift characterized by both an influx of international students and a growing local population requiring robust academic support systems. This report argues that the</w:t>
      </w:r>
      <w:r>
        <w:t xml:space="preserve"> </w:t>
      </w:r>
      <w:r>
        <w:rPr>
          <w:bCs/>
          <w:b/>
        </w:rPr>
        <w:t xml:space="preserve">Teacher Secondary</w:t>
      </w:r>
      <w:r>
        <w:t xml:space="preserve"> </w:t>
      </w:r>
      <w:r>
        <w:t xml:space="preserve">is not merely an instructional facilitator but a pivotal agent of social cohesion, cultural integration, and academic excellence in</w:t>
      </w:r>
      <w:r>
        <w:t xml:space="preserve"> </w:t>
      </w:r>
      <w:r>
        <w:rPr>
          <w:bCs/>
          <w:b/>
        </w:rPr>
        <w:t xml:space="preserve">Canada Vancouver</w:t>
      </w:r>
      <w:r>
        <w:t xml:space="preserve">.</w:t>
      </w:r>
    </w:p>
    <w:p>
      <w:pPr>
        <w:pStyle w:val="BodyText"/>
      </w:pPr>
      <w:r>
        <w:t xml:space="preserve">The primary objective of this initiative is to define the competencies, challenges, and opportunities specific to secondary education in this region. By aligning professional development resources with local community needs, we aim to enhance student outcomes in STEM (Science, Technology, Engineering, and Mathematics), Indigenous reconciliation efforts, and mental health support services.</w:t>
      </w:r>
    </w:p>
    <w:bookmarkEnd w:id="20"/>
    <w:bookmarkStart w:id="23" w:name="X96d1bfe2b6fc0d1b91a01d8d6fe9cf92f9db9e5"/>
    <w:p>
      <w:pPr>
        <w:pStyle w:val="Heading2"/>
      </w:pPr>
      <w:r>
        <w:t xml:space="preserve">2. Contextual Analysis: The Landscape of Canada Vancouver</w:t>
      </w:r>
    </w:p>
    <w:p>
      <w:pPr>
        <w:pStyle w:val="FirstParagraph"/>
      </w:pPr>
      <w:r>
        <w:rPr>
          <w:bCs/>
          <w:b/>
        </w:rPr>
        <w:t xml:space="preserve">Vancouver</w:t>
      </w:r>
      <w:r>
        <w:t xml:space="preserve">, the largest city in British Columbia</w:t>
      </w:r>
      <w:r>
        <w:t xml:space="preserve"> </w:t>
      </w:r>
      <w:r>
        <w:rPr>
          <w:bCs/>
          <w:b/>
        </w:rPr>
        <w:t xml:space="preserve">Canada</w:t>
      </w:r>
      <w:r>
        <w:t xml:space="preserve">, serves as a global hub for business, tourism, and education. Its school districts are among the most diverse in North America, with a significant proportion of students identifying as belonging to visible minority groups or being newcomers to the country. This diversity presents unique pedagogical challenges and opportunities for the</w:t>
      </w:r>
      <w:r>
        <w:t xml:space="preserve"> </w:t>
      </w:r>
      <w:r>
        <w:rPr>
          <w:bCs/>
          <w:b/>
        </w:rPr>
        <w:t xml:space="preserve">Teacher Secondary</w:t>
      </w:r>
      <w:r>
        <w:t xml:space="preserve">.</w:t>
      </w:r>
    </w:p>
    <w:bookmarkStart w:id="21" w:name="Xbedac6c9ffd6eb12660c705f61aedd36575a204"/>
    <w:p>
      <w:pPr>
        <w:pStyle w:val="Heading3"/>
      </w:pPr>
      <w:r>
        <w:t xml:space="preserve">2.1 Demographic Diversity and Cultural Competency</w:t>
      </w:r>
    </w:p>
    <w:p>
      <w:pPr>
        <w:pStyle w:val="FirstParagraph"/>
      </w:pPr>
      <w:r>
        <w:t xml:space="preserve">In</w:t>
      </w:r>
      <w:r>
        <w:t xml:space="preserve"> </w:t>
      </w:r>
      <w:r>
        <w:rPr>
          <w:bCs/>
          <w:b/>
        </w:rPr>
        <w:t xml:space="preserve">Vancouver Canada</w:t>
      </w:r>
      <w:r>
        <w:t xml:space="preserve">, classrooms are microcosms of global cultures. The</w:t>
      </w:r>
      <w:r>
        <w:t xml:space="preserve"> </w:t>
      </w:r>
      <w:r>
        <w:rPr>
          <w:bCs/>
          <w:b/>
        </w:rPr>
        <w:t xml:space="preserve">Teacher Secondary</w:t>
      </w:r>
      <w:r>
        <w:t xml:space="preserve"> </w:t>
      </w:r>
      <w:r>
        <w:t xml:space="preserve">must possess a high degree of cultural competency to navigate these dynamics effectively. This involves understanding the nuances of cross-cultural communication, recognizing implicit biases, and creating an inclusive classroom environment where every student feels represented. For instance, many secondary students in Vancouver come from families who speak languages other than English or French at home. The</w:t>
      </w:r>
      <w:r>
        <w:t xml:space="preserve"> </w:t>
      </w:r>
      <w:r>
        <w:rPr>
          <w:bCs/>
          <w:b/>
        </w:rPr>
        <w:t xml:space="preserve">Teacher Secondary</w:t>
      </w:r>
      <w:r>
        <w:t xml:space="preserve"> </w:t>
      </w:r>
      <w:r>
        <w:t xml:space="preserve">must be adept at supporting English Language Learners (ELL) while simultaneously challenging them to meet provincial curriculum standards.</w:t>
      </w:r>
    </w:p>
    <w:bookmarkEnd w:id="21"/>
    <w:bookmarkStart w:id="22" w:name="socio-economic-disparities"/>
    <w:p>
      <w:pPr>
        <w:pStyle w:val="Heading3"/>
      </w:pPr>
      <w:r>
        <w:t xml:space="preserve">2.2 Socio-Economic Disparities</w:t>
      </w:r>
    </w:p>
    <w:p>
      <w:pPr>
        <w:pStyle w:val="FirstParagraph"/>
      </w:pPr>
      <w:r>
        <w:t xml:space="preserve">Vancouver faces significant housing affordability issues, which directly impact student stability and mental health. The</w:t>
      </w:r>
      <w:r>
        <w:t xml:space="preserve"> </w:t>
      </w:r>
      <w:r>
        <w:rPr>
          <w:bCs/>
          <w:b/>
        </w:rPr>
        <w:t xml:space="preserve">Teacher Secondary</w:t>
      </w:r>
      <w:r>
        <w:t xml:space="preserve"> </w:t>
      </w:r>
      <w:r>
        <w:t xml:space="preserve">often plays a crucial role in identifying students facing socio-economic hardships. This requires teachers to act as liaisons between schools, social services, and families, ensuring that financial barriers do not impede educational access.</w:t>
      </w:r>
    </w:p>
    <w:bookmarkEnd w:id="22"/>
    <w:bookmarkEnd w:id="23"/>
    <w:bookmarkStart w:id="28" w:name="Xb8981d9b3873dda086ab5a4e7c46e03c480170e"/>
    <w:p>
      <w:pPr>
        <w:pStyle w:val="Heading2"/>
      </w:pPr>
      <w:r>
        <w:t xml:space="preserve">3. Defining the Role of the Teacher Secondary</w:t>
      </w:r>
    </w:p>
    <w:p>
      <w:pPr>
        <w:pStyle w:val="FirstParagraph"/>
      </w:pPr>
      <w:r>
        <w:t xml:space="preserve">The role of the</w:t>
      </w:r>
      <w:r>
        <w:t xml:space="preserve"> </w:t>
      </w:r>
      <w:r>
        <w:rPr>
          <w:bCs/>
          <w:b/>
        </w:rPr>
        <w:t xml:space="preserve">Teacher Secondary</w:t>
      </w:r>
      <w:r>
        <w:t xml:space="preserve"> </w:t>
      </w:r>
      <w:r>
        <w:t xml:space="preserve">in</w:t>
      </w:r>
      <w:r>
        <w:t xml:space="preserve"> </w:t>
      </w:r>
      <w:r>
        <w:rPr>
          <w:bCs/>
          <w:b/>
        </w:rPr>
        <w:t xml:space="preserve">Vancouver Canada</w:t>
      </w:r>
    </w:p>
    <w:bookmarkStart w:id="24" w:name="academic-rigor-and-curriculum-delivery"/>
    <w:p>
      <w:pPr>
        <w:pStyle w:val="Heading3"/>
      </w:pPr>
      <w:r>
        <w:t xml:space="preserve">3.1 Academic Rigor and Curriculum Delivery</w:t>
      </w:r>
    </w:p>
    <w:p>
      <w:pPr>
        <w:pStyle w:val="FirstParagraph"/>
      </w:pPr>
      <w:r>
        <w:t xml:space="preserve">The primary mandate remains delivering the British Columbia Curriculum. However, in a competitive global market, the</w:t>
      </w:r>
      <w:r>
        <w:t xml:space="preserve"> </w:t>
      </w:r>
      <w:r>
        <w:rPr>
          <w:bCs/>
          <w:b/>
        </w:rPr>
        <w:t xml:space="preserve">Teacher Secondary</w:t>
      </w:r>
      <w:r>
        <w:t xml:space="preserve"> </w:t>
      </w:r>
      <w:r>
        <w:t xml:space="preserve">must adopt innovative pedagogical strategies that promote critical thinking, digital literacy, and problem-solving skills. This includes integrating technology into lesson plans to prepare students for post-secondary education and the modern workforce.</w:t>
      </w:r>
    </w:p>
    <w:bookmarkEnd w:id="24"/>
    <w:bookmarkStart w:id="25" w:name="X371c108ac5c3f237e738df9366a0e52fb15641d"/>
    <w:p>
      <w:pPr>
        <w:pStyle w:val="Heading3"/>
      </w:pPr>
      <w:r>
        <w:t xml:space="preserve">3.2 Student Well-being and Mental Health Support</w:t>
      </w:r>
    </w:p>
    <w:p>
      <w:pPr>
        <w:pStyle w:val="FirstParagraph"/>
      </w:pPr>
      <w:r>
        <w:t xml:space="preserve">Mental health challenges among adolescents in</w:t>
      </w:r>
      <w:r>
        <w:t xml:space="preserve"> </w:t>
      </w:r>
      <w:r>
        <w:rPr>
          <w:bCs/>
          <w:b/>
        </w:rPr>
        <w:t xml:space="preserve">Vancouver Canada</w:t>
      </w:r>
      <w:r>
        <w:t xml:space="preserve">Teacher Secondary</w:t>
      </w:r>
    </w:p>
    <w:bookmarkEnd w:id="25"/>
    <w:bookmarkStart w:id="26" w:name="indigenous-reconciliation-and-education"/>
    <w:p>
      <w:pPr>
        <w:pStyle w:val="Heading3"/>
      </w:pPr>
      <w:r>
        <w:t xml:space="preserve">3.3 Indigenous Reconciliation and Education</w:t>
      </w:r>
    </w:p>
    <w:p>
      <w:pPr>
        <w:pStyle w:val="FirstParagraph"/>
      </w:pPr>
      <w:r>
        <w:t xml:space="preserve">A critical component of education in</w:t>
      </w:r>
      <w:r>
        <w:t xml:space="preserve"> </w:t>
      </w:r>
      <w:r>
        <w:rPr>
          <w:bCs/>
          <w:b/>
        </w:rPr>
        <w:t xml:space="preserve">Vancouver Canada</w:t>
      </w:r>
      <w:r>
        <w:t xml:space="preserve">Teacher Secondary must integrate Indigenous perspectives, histories, and knowledge systems into all subjects. This is not optional but a professional obligation. Teachers must collaborate with local Indigenous communities to ensure authenticity and respect in their teaching materials.</w:t>
      </w:r>
    </w:p>
    <w:bookmarkEnd w:id="26"/>
    <w:bookmarkStart w:id="27" w:name="community-engagement"/>
    <w:p>
      <w:pPr>
        <w:pStyle w:val="Heading3"/>
      </w:pPr>
      <w:r>
        <w:t xml:space="preserve">3.4 Community Engagement</w:t>
      </w:r>
    </w:p>
    <w:p>
      <w:pPr>
        <w:pStyle w:val="FirstParagraph"/>
      </w:pPr>
      <w:r>
        <w:t xml:space="preserve">The school is a community hub in</w:t>
      </w:r>
      <w:r>
        <w:t xml:space="preserve"> </w:t>
      </w:r>
      <w:r>
        <w:rPr>
          <w:bCs/>
          <w:b/>
        </w:rPr>
        <w:t xml:space="preserve">Vancouver Canada</w:t>
      </w:r>
      <w:r>
        <w:t xml:space="preserve">. The</w:t>
      </w:r>
      <w:r>
        <w:t xml:space="preserve"> </w:t>
      </w:r>
      <w:r>
        <w:rPr>
          <w:bCs/>
          <w:b/>
        </w:rPr>
        <w:t xml:space="preserve">Teacher Secondary</w:t>
      </w:r>
    </w:p>
    <w:bookmarkEnd w:id="27"/>
    <w:bookmarkEnd w:id="28"/>
    <w:bookmarkStart w:id="29" w:name="strategic-recommendations"/>
    <w:p>
      <w:pPr>
        <w:pStyle w:val="Heading2"/>
      </w:pPr>
      <w:r>
        <w:t xml:space="preserve">4. Strategic Recommendations</w:t>
      </w:r>
    </w:p>
    <w:p>
      <w:pPr>
        <w:pStyle w:val="FirstParagraph"/>
      </w:pPr>
      <w:r>
        <w:t xml:space="preserve">To optimize the effectiveness of the</w:t>
      </w:r>
    </w:p>
    <w:p>
      <w:pPr>
        <w:pStyle w:val="BodyText"/>
      </w:pPr>
      <w:r>
        <w:t xml:space="preserve">Teacher Secondary in Canada Vancouver we propose the following strategic actions:</w:t>
      </w:r>
    </w:p>
    <w:p>
      <w:pPr>
        <w:numPr>
          <w:ilvl w:val="0"/>
          <w:numId w:val="1001"/>
        </w:numPr>
        <w:pStyle w:val="Compact"/>
      </w:pPr>
      <w:r>
        <w:rPr>
          <w:bCs/>
          <w:b/>
        </w:rPr>
        <w:t xml:space="preserve">Mandatory Cultural Competency Training:</w:t>
      </w:r>
      <w:r>
        <w:t xml:space="preserve">All secondary teachers in</w:t>
      </w:r>
      <w:r>
        <w:t xml:space="preserve"> </w:t>
      </w:r>
      <w:r>
        <w:rPr>
          <w:bCs/>
          <w:b/>
        </w:rPr>
        <w:t xml:space="preserve">Vancouver Canada</w:t>
      </w:r>
    </w:p>
    <w:p>
      <w:pPr>
        <w:numPr>
          <w:ilvl w:val="0"/>
          <w:numId w:val="1001"/>
        </w:numPr>
        <w:pStyle w:val="Compact"/>
      </w:pPr>
      <w:r>
        <w:t xml:space="preserve">Mental Health First Aid Certification:Every secondary teacher should obtain certification in Mental Health First Aid to better identify and respond to student crises.</w:t>
      </w:r>
    </w:p>
    <w:p>
      <w:pPr>
        <w:numPr>
          <w:ilvl w:val="0"/>
          <w:numId w:val="1001"/>
        </w:numPr>
        <w:pStyle w:val="Compact"/>
      </w:pPr>
      <w:r>
        <w:rPr>
          <w:bCs/>
          <w:b/>
        </w:rPr>
        <w:t xml:space="preserve">Mentorship Programs for New Teachers:New</w:t>
      </w:r>
      <w:r>
        <w:rPr>
          <w:bCs/>
          <w:b/>
        </w:rPr>
        <w:t xml:space="preserve"> </w:t>
      </w:r>
      <w:r>
        <w:rPr>
          <w:bCs/>
          <w:b/>
          <w:bCs/>
          <w:b/>
        </w:rPr>
        <w:t xml:space="preserve">Teachers SecondaryVancouver Canada</w:t>
      </w:r>
    </w:p>
    <w:p>
      <w:pPr>
        <w:numPr>
          <w:ilvl w:val="0"/>
          <w:numId w:val="1001"/>
        </w:numPr>
        <w:pStyle w:val="Compact"/>
      </w:pPr>
      <w:r>
        <w:t xml:space="preserve">Integration of Indigenous Knowledge Holders:School boards in</w:t>
      </w:r>
    </w:p>
    <w:p>
      <w:pPr>
        <w:numPr>
          <w:ilvl w:val="0"/>
          <w:numId w:val="1000"/>
        </w:numPr>
        <w:pStyle w:val="Compact"/>
      </w:pPr>
      <w:r>
        <w:t xml:space="preserve">Vancouver Canada must allocate budget lines for hiring Elders and Knowledge Keepers to co-teach or advise on curriculum development.</w:t>
      </w:r>
    </w:p>
    <w:p>
      <w:pPr>
        <w:numPr>
          <w:ilvl w:val="0"/>
          <w:numId w:val="1001"/>
        </w:numPr>
        <w:pStyle w:val="Compact"/>
      </w:pPr>
      <w:r>
        <w:t xml:space="preserve">Tech Infrastructure Investment:To support the digital needs of modern secondary education, schools in</w:t>
      </w:r>
      <w:r>
        <w:t xml:space="preserve"> </w:t>
      </w:r>
      <w:r>
        <w:rPr>
          <w:bCs/>
          <w:b/>
        </w:rPr>
        <w:t xml:space="preserve">Vancouver Canada</w:t>
      </w:r>
    </w:p>
    <w:bookmarkEnd w:id="29"/>
    <w:bookmarkStart w:id="30" w:name="challenges-and-mitigation-strategies"/>
    <w:p>
      <w:pPr>
        <w:pStyle w:val="Heading2"/>
      </w:pPr>
      <w:r>
        <w:t xml:space="preserve">5. Challenges and Mitigation Strategies</w:t>
      </w:r>
    </w:p>
    <w:p>
      <w:pPr>
        <w:pStyle w:val="FirstParagraph"/>
      </w:pPr>
      <w:r>
        <w:t xml:space="preserve">The implementation of these strategies faces several hurdles. One significant challenge is teacher burnout due to increasing workloads. To mitigate this,</w:t>
      </w:r>
    </w:p>
    <w:p>
      <w:pPr>
        <w:pStyle w:val="BodyText"/>
      </w:pPr>
      <w:r>
        <w:t xml:space="preserve">Vancouver Canada school districts must review staffing ratios and provide administrative support to reduce non-instructional burdens on the</w:t>
      </w:r>
    </w:p>
    <w:p>
      <w:pPr>
        <w:pStyle w:val="BodyText"/>
      </w:pPr>
      <w:r>
        <w:t xml:space="preserve">Teacher Secondary. Another challenge is the rapid pace of educational policy changes. Clear communication channels between ministry officials and school-based teachers are essential to ensure smooth transitions.</w:t>
      </w:r>
    </w:p>
    <w:bookmarkEnd w:id="30"/>
    <w:bookmarkStart w:id="31" w:name="conclusion"/>
    <w:p>
      <w:pPr>
        <w:pStyle w:val="Heading2"/>
      </w:pPr>
      <w:r>
        <w:t xml:space="preserve">6. Conclusion</w:t>
      </w:r>
    </w:p>
    <w:p>
      <w:pPr>
        <w:pStyle w:val="FirstParagraph"/>
      </w:pPr>
      <w:r>
        <w:t xml:space="preserve">The future of education in</w:t>
      </w:r>
      <w:r>
        <w:t xml:space="preserve"> </w:t>
      </w:r>
      <w:r>
        <w:rPr>
          <w:bCs/>
          <w:b/>
        </w:rPr>
        <w:t xml:space="preserve">Vancouver Canada</w:t>
      </w:r>
      <w:r>
        <w:t xml:space="preserve">Teacher Secondary is not just an instructor but a mentor, counselor, community leader, and cultural bridge. By investing in comprehensive support systems that address the unique needs of this diverse region we can empower teachers to create transformative learning experiences.</w:t>
      </w:r>
    </w:p>
    <w:p>
      <w:pPr>
        <w:pStyle w:val="BodyText"/>
      </w:pPr>
      <w:r>
        <w:t xml:space="preserve">This report serves as a call to action for policymakers, school administrators, and educational stakeholders. Prioritizing the</w:t>
      </w:r>
      <w:r>
        <w:t xml:space="preserve"> </w:t>
      </w:r>
      <w:r>
        <w:rPr>
          <w:bCs/>
          <w:b/>
        </w:rPr>
        <w:t xml:space="preserve">Teacher Secondary in Canada Vancouver is not merely an operational necessity; it is a moral imperative that will shape the social and economic future of our province. We must ensure that every student in</w:t>
      </w:r>
      <w:r>
        <w:rPr>
          <w:bCs/>
          <w:b/>
        </w:rPr>
        <w:t xml:space="preserve"> </w:t>
      </w:r>
      <w:r>
        <w:rPr>
          <w:bCs/>
          <w:b/>
          <w:bCs/>
          <w:b/>
        </w:rPr>
        <w:t xml:space="preserve">Vancouver Canada</w:t>
      </w:r>
    </w:p>
    <w:bookmarkEnd w:id="31"/>
    <w:bookmarkStart w:id="32" w:name="references-and-further-reading"/>
    <w:p>
      <w:pPr>
        <w:pStyle w:val="Heading2"/>
      </w:pPr>
      <w:r>
        <w:t xml:space="preserve">7. References and Further Reading</w:t>
      </w:r>
    </w:p>
    <w:p>
      <w:pPr>
        <w:numPr>
          <w:ilvl w:val="0"/>
          <w:numId w:val="1002"/>
        </w:numPr>
        <w:pStyle w:val="Compact"/>
      </w:pPr>
      <w:r>
        <w:t xml:space="preserve">British Columbia Ministry of Education. (2023). *Curriculum Framework for Secondary Schools*. Victoria: Government of British Columbia.</w:t>
      </w:r>
    </w:p>
    <w:p>
      <w:pPr>
        <w:numPr>
          <w:ilvl w:val="0"/>
          <w:numId w:val="1002"/>
        </w:numPr>
        <w:pStyle w:val="Compact"/>
      </w:pPr>
      <w:r>
        <w:t xml:space="preserve">Vancouver School District No. 39. (2024). *Diversity, Equity, and Inclusion Strategic Plan*.</w:t>
      </w:r>
    </w:p>
    <w:p>
      <w:pPr>
        <w:numPr>
          <w:ilvl w:val="0"/>
          <w:numId w:val="1002"/>
        </w:numPr>
        <w:pStyle w:val="Compact"/>
      </w:pPr>
      <w:r>
        <w:t xml:space="preserve">Truth and Reconciliation Commission of Canada. (2015). *Honouring the Truth, Reconciling for the Future*. Ottawa: TRC.</w:t>
      </w:r>
    </w:p>
    <w:p>
      <w:pPr>
        <w:numPr>
          <w:ilvl w:val="0"/>
          <w:numId w:val="1002"/>
        </w:numPr>
        <w:pStyle w:val="Compact"/>
      </w:pPr>
      <w:r>
        <w:t xml:space="preserve">Royal Society of Canada. (2022). *The Mental Health Crisis in Canadian Schools*. Ottawa: RSC.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Canada Vancouver</dc:title>
  <dc:creator/>
  <dc:language>en</dc:language>
  <cp:keywords/>
  <dcterms:created xsi:type="dcterms:W3CDTF">2026-07-29T07:17:27Z</dcterms:created>
  <dcterms:modified xsi:type="dcterms:W3CDTF">2026-07-29T07:17:27Z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