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Beijing</w:t>
      </w:r>
    </w:p>
    <w:bookmarkStart w:id="27" w:name="X7879803979867888a9d47ecbd68768657bf82ce"/>
    <w:p>
      <w:pPr>
        <w:pStyle w:val="Heading1"/>
      </w:pPr>
      <w:r>
        <w:t xml:space="preserve">Comprehensive Project Report: Teacher Secondary Development in China, Beijing</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Education and Beijing Municipal Commission of Education</w:t>
      </w:r>
    </w:p>
    <w:p>
      <w:pPr>
        <w:pStyle w:val="BodyText"/>
      </w:pPr>
      <w:r>
        <w:t xml:space="preserve">From:Bureau of Educational Strategy and Development</w:t>
      </w:r>
    </w:p>
    <w:p>
      <w:pPr>
        <w:pStyle w:val="BodyText"/>
      </w:pPr>
      <w:r>
        <w:t xml:space="preserve">p&gt;</w:t>
      </w:r>
    </w:p>
    <w:bookmarkStart w:id="20" w:name="executive-summary"/>
    <w:p>
      <w:pPr>
        <w:pStyle w:val="Heading2"/>
      </w:pPr>
      <w:r>
        <w:t xml:space="preserve">Executive Summary</w:t>
      </w:r>
    </w:p>
    <w:p>
      <w:pPr>
        <w:pStyle w:val="FirstParagraph"/>
      </w:pPr>
      <w:r>
        <w:t xml:space="preserve">This Project Report outlines the strategic framework, implementation strategies, and expected outcomes for the "Teacher Secondary" initiative specifically tailored for the educational landscape of China Beijing. As Beijing continues to solidify its position as a global hub for education and innovation, the quality of secondary education becomes paramount. The core objective of this report is to analyze how specialized training programs ("Teacher Secondary") can elevate pedagogical standards across all secondary schools in the region.</w:t>
      </w:r>
    </w:p>
    <w:p>
      <w:pPr>
        <w:pStyle w:val="BodyText"/>
      </w:pPr>
      <w:r>
        <w:t xml:space="preserve">The term "Teacher Secondary" refers not merely to teachers working in secondary schools, but to a holistic professional development ecosystem designed specifically for educators at the middle and high school levels. This report argues that by focusing on this specific demographic within China Beijing, we can address unique challenges such as high academic pressure, technological integration needs, and the demand for holistic student development.</w:t>
      </w:r>
    </w:p>
    <w:bookmarkEnd w:id="20"/>
    <w:bookmarkStart w:id="21" w:name="introduction-and-context"/>
    <w:p>
      <w:pPr>
        <w:pStyle w:val="Heading2"/>
      </w:pPr>
      <w:r>
        <w:t xml:space="preserve">1. Introduction and Context</w:t>
      </w:r>
    </w:p>
    <w:p>
      <w:pPr>
        <w:pStyle w:val="FirstParagraph"/>
      </w:pPr>
      <w:r>
        <w:t xml:space="preserve">The educational sector in China Beijing is undergoing a profound transformation. With the implementation of new national curriculum standards and the "Double Reduction" policy, which aims to reduce homework burdens and off-campus tutoring pressures, there is an urgent need for teachers to adopt more efficient, engaging, and student-centered teaching methods. In this context, the concept of Teacher Secondary becomes critical.</w:t>
      </w:r>
    </w:p>
    <w:p>
      <w:pPr>
        <w:pStyle w:val="BodyText"/>
      </w:pPr>
      <w:r>
        <w:t xml:space="preserve">China Beijing presents a unique case study due to its high concentration of resources coupled with intense competition among students. The secondary education phase (grades 7-12) is the pivotal period where students transition from foundational learning to advanced academic preparation. Therefore, educators in this sector require specialized support that goes beyond general pedagogical training.</w:t>
      </w:r>
    </w:p>
    <w:bookmarkEnd w:id="21"/>
    <w:bookmarkStart w:id="22" w:name="X19f26edda6b98d69c0ad647c3aaaeef3f7eb614"/>
    <w:p>
      <w:pPr>
        <w:pStyle w:val="Heading2"/>
      </w:pPr>
      <w:r>
        <w:t xml:space="preserve">2. Strategic Objectives of the Teacher Secondary Initiative</w:t>
      </w:r>
    </w:p>
    <w:p>
      <w:pPr>
        <w:numPr>
          <w:ilvl w:val="0"/>
          <w:numId w:val="1001"/>
        </w:numPr>
        <w:pStyle w:val="Compact"/>
      </w:pPr>
      <w:r>
        <w:rPr>
          <w:bCs/>
          <w:b/>
        </w:rPr>
        <w:t xml:space="preserve">Pedagogical Excellence:</w:t>
      </w:r>
    </w:p>
    <w:p>
      <w:pPr>
        <w:numPr>
          <w:ilvl w:val="0"/>
          <w:numId w:val="1001"/>
        </w:numPr>
        <w:pStyle w:val="Compact"/>
      </w:pPr>
      <w:r>
        <w:rPr>
          <w:bCs/>
          <w:b/>
        </w:rPr>
        <w:t xml:space="preserve">Tech-Integration Proficiency:</w:t>
      </w:r>
    </w:p>
    <w:p>
      <w:pPr>
        <w:numPr>
          <w:ilvl w:val="0"/>
          <w:numId w:val="1001"/>
        </w:numPr>
        <w:pStyle w:val="Compact"/>
      </w:pPr>
      <w:r>
        <w:rPr>
          <w:bCs/>
          <w:b/>
        </w:rPr>
        <w:t xml:space="preserve">Psychological Support Competence:</w:t>
      </w:r>
    </w:p>
    <w:p>
      <w:pPr>
        <w:numPr>
          <w:ilvl w:val="0"/>
          <w:numId w:val="1001"/>
        </w:numPr>
        <w:pStyle w:val="Compact"/>
      </w:pPr>
      <w:r>
        <w:rPr>
          <w:bCs/>
          <w:b/>
        </w:rPr>
        <w:t xml:space="preserve">Cultural Responsiveness:</w:t>
      </w:r>
    </w:p>
    <w:bookmarkEnd w:id="22"/>
    <w:bookmarkStart w:id="23" w:name="implementation-strategy-in-china-beijing"/>
    <w:p>
      <w:pPr>
        <w:pStyle w:val="Heading2"/>
      </w:pPr>
      <w:r>
        <w:t xml:space="preserve">3. Implementation Strategy in China Beijing</w:t>
      </w:r>
    </w:p>
    <w:p>
      <w:pPr>
        <w:pStyle w:val="FirstParagraph"/>
      </w:pPr>
      <w:r>
        <w:rPr>
          <w:bCs/>
          <w:b/>
        </w:rPr>
        <w:t xml:space="preserve">A. Tiered Professional Development:</w:t>
      </w:r>
    </w:p>
    <w:p>
      <w:pPr>
        <w:pStyle w:val="BodyText"/>
      </w:pPr>
      <w:r>
        <w:t xml:space="preserve">The Teacher Secondary program will be rolled out in three tiers across China Beijing’s districts, including Haidian, Chaoyang, and Xicheng. Each tier corresponds to the teacher’s experience level:</w:t>
      </w:r>
    </w:p>
    <w:p>
      <w:pPr>
        <w:numPr>
          <w:ilvl w:val="0"/>
          <w:numId w:val="1002"/>
        </w:numPr>
        <w:pStyle w:val="Compact"/>
      </w:pPr>
      <w:r>
        <w:rPr>
          <w:bCs/>
          <w:b/>
        </w:rPr>
        <w:t xml:space="preserve">New Educators (0-3 years):</w:t>
      </w:r>
    </w:p>
    <w:p>
      <w:pPr>
        <w:numPr>
          <w:ilvl w:val="0"/>
          <w:numId w:val="1000"/>
        </w:numPr>
        <w:pStyle w:val="Compact"/>
      </w:pPr>
      <w:r>
        <w:t xml:space="preserve">Focus on classroom management and basic instructional design.</w:t>
      </w:r>
    </w:p>
    <w:p>
      <w:pPr>
        <w:numPr>
          <w:ilvl w:val="0"/>
          <w:numId w:val="1002"/>
        </w:numPr>
        <w:pStyle w:val="Compact"/>
      </w:pPr>
      <w:r>
        <w:rPr>
          <w:bCs/>
          <w:b/>
        </w:rPr>
        <w:t xml:space="preserve">Middle Career Teachers (4-15 years):</w:t>
      </w:r>
      <w:r>
        <w:t xml:space="preserve"> </w:t>
      </w:r>
      <w:r>
        <w:t xml:space="preserve">Focus on curriculum innovation and data-driven instruction.</w:t>
      </w:r>
    </w:p>
    <w:p>
      <w:pPr>
        <w:numPr>
          <w:ilvl w:val="0"/>
          <w:numId w:val="1002"/>
        </w:numPr>
        <w:pStyle w:val="Compact"/>
      </w:pPr>
      <w:r>
        <w:t xml:space="preserve">Senior Educators (15+ years):</w:t>
      </w:r>
    </w:p>
    <w:p>
      <w:pPr>
        <w:numPr>
          <w:ilvl w:val="0"/>
          <w:numId w:val="1000"/>
        </w:numPr>
        <w:pStyle w:val="Compact"/>
      </w:pPr>
      <w:r>
        <w:t xml:space="preserve">Focus on mentorship, leadership, and policy advisory roles within the Teacher Secondary network.</w:t>
      </w:r>
    </w:p>
    <w:p>
      <w:pPr>
        <w:pStyle w:val="FirstParagraph"/>
      </w:pPr>
      <w:r>
        <w:rPr>
          <w:bCs/>
          <w:b/>
        </w:rPr>
        <w:t xml:space="preserve">B. Collaborative Hubs:</w:t>
      </w:r>
    </w:p>
    <w:p>
      <w:pPr>
        <w:pStyle w:val="BodyText"/>
      </w:pPr>
      <w:r>
        <w:t xml:space="preserve">We propose establishing "Teacher Secondary Innovation Hubs" in key areas of China Beijing. These physical and virtual spaces will allow educators to collaborate on lesson planning, share best practices, and engage in peer-review sessions. These hubs will serve as the backbone of the Teacher Secondary community.</w:t>
      </w:r>
    </w:p>
    <w:p>
      <w:pPr>
        <w:pStyle w:val="BodyText"/>
      </w:pPr>
      <w:r>
        <w:rPr>
          <w:bCs/>
          <w:b/>
        </w:rPr>
        <w:t xml:space="preserve">C. Mentorship Networks:</w:t>
      </w:r>
    </w:p>
    <w:p>
      <w:pPr>
        <w:pStyle w:val="BodyText"/>
      </w:pPr>
      <w:r>
        <w:t xml:space="preserve">A critical component of the Teacher Secondary initiative is the pairing of experienced educators with newer teachers. This mentorship ensures that knowledge transfer happens organically, preserving institutional memory while encouraging innovation.</w:t>
      </w:r>
    </w:p>
    <w:bookmarkEnd w:id="23"/>
    <w:bookmarkStart w:id="24" w:name="challenges-and-mitigation-strategies"/>
    <w:p>
      <w:pPr>
        <w:pStyle w:val="Heading2"/>
      </w:pPr>
      <w:r>
        <w:t xml:space="preserve">4. Challenges and Mitigation Strategies</w:t>
      </w:r>
    </w:p>
    <w:p>
      <w:pPr>
        <w:pStyle w:val="FirstParagraph"/>
      </w:pPr>
      <w:r>
        <w:rPr>
          <w:bCs/>
          <w:b/>
        </w:rPr>
        <w:t xml:space="preserve">Challenge 1: Teacher Burnout.</w:t>
      </w:r>
    </w:p>
    <w:p>
      <w:pPr>
        <w:pStyle w:val="BodyText"/>
      </w:pPr>
      <w:r>
        <w:t xml:space="preserve">The secondary education sector in China Beijing is known for its high workload. To mitigate this, the Teacher Secondary program includes mandatory wellness modules and reduced administrative burdens for participants.</w:t>
      </w:r>
    </w:p>
    <w:bookmarkEnd w:id="24"/>
    <w:p>
      <w:pPr>
        <w:pStyle w:val="BodyText"/>
      </w:pPr>
      <w:r>
        <w:t xml:space="preserve">Challenge 2: Resistance to Change</w:t>
      </w:r>
    </w:p>
    <w:p>
      <w:pPr>
        <w:pStyle w:val="BodyText"/>
      </w:pPr>
      <w:r>
        <w:t xml:space="preserve">. Some veteran teachers may be resistant to new methodologies. The mitigation strategy involves highlighting the ease of adoption of new tools and demonstrating tangible benefits through pilot programs.</w:t>
      </w:r>
    </w:p>
    <w:p>
      <w:pPr>
        <w:pStyle w:val="BodyText"/>
      </w:pPr>
      <w:r>
        <w:t xml:space="preserve">Challenge 3: Resource Equity.</w:t>
      </w:r>
    </w:p>
    <w:p>
      <w:pPr>
        <w:pStyle w:val="BodyText"/>
      </w:pPr>
      <w:r>
        <w:t xml:space="preserve">. Ensuring that schools in less affluent districts within China Beijing have equal access to Teacher Secondary resources is a priority. Subsidies and free digital access will be provided to bridge this gap.</w:t>
      </w:r>
    </w:p>
    <w:bookmarkStart w:id="25" w:name="expected-outcomes-and-impact"/>
    <w:p>
      <w:pPr>
        <w:pStyle w:val="Heading2"/>
      </w:pPr>
      <w:r>
        <w:t xml:space="preserve">5. Expected Outcomes and Impact</w:t>
      </w:r>
    </w:p>
    <w:p>
      <w:pPr>
        <w:pStyle w:val="FirstParagraph"/>
      </w:pPr>
      <w:r>
        <w:t xml:space="preserve">The successful implementation of the Teacher Secondary initiative in China Beijing is projected to yield significant positive outcomes:</w:t>
      </w:r>
    </w:p>
    <w:p>
      <w:pPr>
        <w:numPr>
          <w:ilvl w:val="0"/>
          <w:numId w:val="1003"/>
        </w:numPr>
        <w:pStyle w:val="Compact"/>
      </w:pPr>
      <w:r>
        <w:t xml:space="preserve">Improved Student Performance:</w:t>
      </w:r>
    </w:p>
    <w:p>
      <w:pPr>
        <w:numPr>
          <w:ilvl w:val="0"/>
          <w:numId w:val="1000"/>
        </w:numPr>
        <w:pStyle w:val="Compact"/>
      </w:pPr>
      <w:r>
        <w:t xml:space="preserve">: A measurable increase in student engagement and academic achievement, particularly in STEM subjects where teacher expertise is crucial.</w:t>
      </w:r>
    </w:p>
    <w:p>
      <w:pPr>
        <w:numPr>
          <w:ilvl w:val="0"/>
          <w:numId w:val="1003"/>
        </w:numPr>
        <w:pStyle w:val="Compact"/>
      </w:pPr>
      <w:r>
        <w:t xml:space="preserve">Enhanced Teacher Retention: By providing clear career progression paths through the Teacher Secondary framework, we aim to reduce turnover rates among qualified educators.</w:t>
      </w:r>
    </w:p>
    <w:p>
      <w:pPr>
        <w:numPr>
          <w:ilvl w:val="0"/>
          <w:numId w:val="1003"/>
        </w:numPr>
        <w:pStyle w:val="Compact"/>
      </w:pPr>
      <w:r>
        <w:t xml:space="preserve">Social-Emotional Learning:</w:t>
      </w:r>
    </w:p>
    <w:p>
      <w:pPr>
        <w:numPr>
          <w:ilvl w:val="0"/>
          <w:numId w:val="1000"/>
        </w:numPr>
        <w:pStyle w:val="Compact"/>
      </w:pPr>
      <w:r>
        <w:t xml:space="preserve">: A noticeable improvement in student mental health and social skills, attributed to teachers trained in supportive pedagogical practices.</w:t>
      </w:r>
    </w:p>
    <w:p>
      <w:pPr>
        <w:numPr>
          <w:ilvl w:val="0"/>
          <w:numId w:val="1003"/>
        </w:numPr>
        <w:pStyle w:val="Compact"/>
      </w:pPr>
      <w:r>
        <w:t xml:space="preserve">National Model: The success of Teacher Secondary in China Beijing will serve as a replicable model for other provinces across China, demonstrating how targeted teacher development can transform secondary education.</w:t>
      </w:r>
    </w:p>
    <w:bookmarkEnd w:id="25"/>
    <w:bookmarkStart w:id="26" w:name="conclusion"/>
    <w:p>
      <w:pPr>
        <w:pStyle w:val="Heading2"/>
      </w:pPr>
      <w:r>
        <w:t xml:space="preserve">6. Conclusion</w:t>
      </w:r>
    </w:p>
    <w:p>
      <w:pPr>
        <w:pStyle w:val="FirstParagraph"/>
      </w:pPr>
      <w:r>
        <w:t xml:space="preserve">In conclusion, the Teacher Secondary initiative represents a vital investment in the future of education within China Beijing. By focusing specifically on the needs of secondary educators, we address the most critical juncture in a student’s academic journey. This Project Report underscores that sustainable educational improvement is only possible when teachers are empowered with advanced skills, support systems, and professional respect.</w:t>
      </w:r>
    </w:p>
    <w:p>
      <w:pPr>
        <w:pStyle w:val="BodyText"/>
      </w:pPr>
      <w:r>
        <w:t xml:space="preserve">The unique context of China Beijing demands a sophisticated approach to teacher development. Through the structured implementation of Teacher Secondary programs, we can ensure that secondary education in this region remains at the forefront of quality and innovation. It is recommended that immediate funding approval be granted to commence the pilot phases in Q1 2024.</w:t>
      </w:r>
    </w:p>
    <w:p>
      <w:pPr>
        <w:pStyle w:val="BodyText"/>
      </w:pPr>
      <w:r>
        <w:rPr>
          <w:bCs/>
          <w:b/>
        </w:rPr>
        <w:t xml:space="preserve">Prepared by:</w:t>
      </w:r>
      <w:r>
        <w:t xml:space="preserve"> </w:t>
      </w:r>
      <w:r>
        <w:t xml:space="preserve">Project Management Office</w:t>
      </w:r>
    </w:p>
    <w:p>
      <w:pPr>
        <w:pStyle w:val="BodyText"/>
      </w:pPr>
      <w:r>
        <w:rPr>
          <w:bCs/>
          <w:b/>
        </w:rPr>
        <w:t xml:space="preserve">Contact:</w:t>
      </w:r>
      <w:r>
        <w:t xml:space="preserve"> </w:t>
      </w:r>
      <w:r>
        <w:t xml:space="preserve">strategy@education.beijing.cn</w:t>
      </w:r>
    </w:p>
    <w:p>
      <w:pPr>
        <w:pStyle w:val="BodyText"/>
      </w:pPr>
      <w:r>
        <w:t xml:space="preserve">© 2023 Beijing Educational Strategy Bureau.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China Beijing</dc:title>
  <dc:creator/>
  <dc:language>en</dc:language>
  <cp:keywords/>
  <dcterms:created xsi:type="dcterms:W3CDTF">2026-07-29T04:31:52Z</dcterms:created>
  <dcterms:modified xsi:type="dcterms:W3CDTF">2026-07-29T04:31:52Z</dcterms:modified>
</cp:coreProperties>
</file>

<file path=docProps/custom.xml><?xml version="1.0" encoding="utf-8"?>
<Properties xmlns="http://schemas.openxmlformats.org/officeDocument/2006/custom-properties" xmlns:vt="http://schemas.openxmlformats.org/officeDocument/2006/docPropsVTypes"/>
</file>