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Colombia</w:t>
      </w:r>
      <w:r>
        <w:t xml:space="preserve"> </w:t>
      </w:r>
      <w:r>
        <w:t xml:space="preserve">Bogotá</w:t>
      </w:r>
    </w:p>
    <w:bookmarkStart w:id="33" w:name="X536fdc2e14961153084760b0153a7f847ff06bd"/>
    <w:p>
      <w:pPr>
        <w:pStyle w:val="Heading1"/>
      </w:pPr>
      <w:r>
        <w:t xml:space="preserve">Comprehensive Project Report for Secondary Education in Colombia Bogotá</w:t>
      </w:r>
    </w:p>
    <w:p>
      <w:pPr>
        <w:pStyle w:val="FirstParagraph"/>
      </w:pPr>
      <w:r>
        <w:rPr>
          <w:bCs/>
          <w:b/>
        </w:rPr>
        <w:t xml:space="preserve">Date:</w:t>
      </w:r>
    </w:p>
    <w:p>
      <w:pPr>
        <w:pStyle w:val="BodyText"/>
      </w:pPr>
      <w:r>
        <w:rPr>
          <w:bCs/>
          <w:b/>
        </w:rPr>
        <w:t xml:space="preserve">To:</w:t>
      </w:r>
    </w:p>
    <w:p>
      <w:pPr>
        <w:pStyle w:val="BodyText"/>
      </w:pPr>
      <w:r>
        <w:t xml:space="preserve">Sector: Education Ministry, Local School Boards, and Stakeholders.This document serves as a comprehensive</w:t>
      </w:r>
      <w:r>
        <w:t xml:space="preserve"> </w:t>
      </w:r>
      <w:r>
        <w:rPr>
          <w:iCs/>
          <w:i/>
        </w:rPr>
        <w:t xml:space="preserve">Project Report</w:t>
      </w:r>
      <w:r>
        <w:t xml:space="preserve"> </w:t>
      </w:r>
      <w:r>
        <w:t xml:space="preserve">detailing the strategic implementation of secondary education reforms specifically tailored for the urban context of</w:t>
      </w:r>
      <w:r>
        <w:t xml:space="preserve"> </w:t>
      </w:r>
      <w:r>
        <w:rPr>
          <w:iCs/>
          <w:i/>
        </w:rPr>
        <w:t xml:space="preserve">Colombia Bogotá</w:t>
      </w:r>
      <w:r>
        <w:t xml:space="preserve">. The primary objective is to enhance pedagogical quality by establishing a robust framework for the recruitment, training, and retention of qualified secondary educators. As one of South America's most vibrant cultural and educational hubs, Bogotá faces unique challenges regarding infrastructure diversity, student demographics, and socio-economic disparities. This report outlines how a targeted focus on the</w:t>
      </w:r>
      <w:r>
        <w:t xml:space="preserve"> </w:t>
      </w:r>
      <w:r>
        <w:rPr>
          <w:iCs/>
          <w:i/>
        </w:rPr>
        <w:t xml:space="preserve">Teacher Secondary</w:t>
      </w:r>
      <w:r>
        <w:t xml:space="preserve"> </w:t>
      </w:r>
      <w:r>
        <w:t xml:space="preserve">role will directly impact academic outcomes in the capital.</w:t>
      </w:r>
    </w:p>
    <w:bookmarkStart w:id="20" w:name="executive-summary"/>
    <w:p>
      <w:pPr>
        <w:pStyle w:val="Heading2"/>
      </w:pPr>
      <w:r>
        <w:rPr>
          <w:bCs/>
          <w:b/>
        </w:rPr>
        <w:t xml:space="preserve">1. Executive Summary</w:t>
      </w:r>
    </w:p>
    <w:p>
      <w:pPr>
        <w:pStyle w:val="FirstParagraph"/>
      </w:pPr>
      <w:r>
        <w:t xml:space="preserve">The educational landscape in</w:t>
      </w:r>
      <w:r>
        <w:t xml:space="preserve"> </w:t>
      </w:r>
      <w:r>
        <w:rPr>
          <w:iCs/>
          <w:i/>
        </w:rPr>
        <w:t xml:space="preserve">Colombia Bogotá</w:t>
      </w:r>
    </w:p>
    <w:p>
      <w:pPr>
        <w:pStyle w:val="BodyText"/>
      </w:pPr>
      <w:r>
        <w:t xml:space="preserve">The goal of this initiative is to modernize the secondary education system by providing continuous professional development, integrating technology into classrooms, and addressing the specific socio-emotional needs of adolescents in an urban setting. By positioning the</w:t>
      </w:r>
      <w:r>
        <w:t xml:space="preserve"> </w:t>
      </w:r>
      <w:r>
        <w:rPr>
          <w:iCs/>
          <w:i/>
        </w:rPr>
        <w:t xml:space="preserve">Teacher Secondary</w:t>
      </w:r>
    </w:p>
    <w:bookmarkEnd w:id="20"/>
    <w:bookmarkStart w:id="21" w:name="X45b597e4d7ffcf4da1a7e00471fa808d878c3f1"/>
    <w:p>
      <w:pPr>
        <w:pStyle w:val="Heading2"/>
      </w:pPr>
      <w:r>
        <w:rPr>
          <w:bCs/>
          <w:b/>
        </w:rPr>
        <w:t xml:space="preserve">2. Contextual Analysis: The Bogotá Educational Ecosystem</w:t>
      </w:r>
    </w:p>
    <w:p>
      <w:pPr>
        <w:pStyle w:val="FirstParagraph"/>
      </w:pPr>
      <w:r>
        <w:t xml:space="preserve">Bogotá</w:t>
      </w:r>
    </w:p>
    <w:p>
      <w:pPr>
        <w:pStyle w:val="BodyText"/>
      </w:pPr>
      <w:r>
        <w:t xml:space="preserve">The city is characterized by a dense population and significant vertical expansion, creating diverse community dynamics. Public schools in</w:t>
      </w:r>
      <w:r>
        <w:t xml:space="preserve"> </w:t>
      </w:r>
      <w:r>
        <w:rPr>
          <w:iCs/>
          <w:i/>
        </w:rPr>
        <w:t xml:space="preserve">Colombia Bogotá</w:t>
      </w:r>
    </w:p>
    <w:p>
      <w:pPr>
        <w:pStyle w:val="BodyText"/>
      </w:pPr>
      <w:r>
        <w:t xml:space="preserve">Socio-economic disparities remain a critical factor affecting student performance. While some sectors benefit from private institutions with high resources, public schools must navigate limited budgets and overcrowded classrooms. Furthermore, the historical context of the region has left deep social scars that manifest in student behavior and attendance rates. Therefore, a</w:t>
      </w:r>
      <w:r>
        <w:t xml:space="preserve"> </w:t>
      </w:r>
      <w:r>
        <w:rPr>
          <w:iCs/>
          <w:i/>
        </w:rPr>
        <w:t xml:space="preserve">Project Report</w:t>
      </w:r>
      <w:r>
        <w:t xml:space="preserve"> </w:t>
      </w:r>
      <w:r>
        <w:t xml:space="preserve">on education cannot focus solely on academic metrics but must also address community integration.</w:t>
      </w:r>
    </w:p>
    <w:p>
      <w:pPr>
        <w:pStyle w:val="BodyText"/>
      </w:pPr>
      <w:r>
        <w:t xml:space="preserve">The transition from primary to secondary school is often marked by a significant drop in student engagement. Adolescents in Bogotá are exposed to rapid urban changes, digital media saturation, and various social pressures. The role of the</w:t>
      </w:r>
      <w:r>
        <w:t xml:space="preserve"> </w:t>
      </w:r>
      <w:r>
        <w:rPr>
          <w:iCs/>
          <w:i/>
        </w:rPr>
        <w:t xml:space="preserve">Teacher Secondary</w:t>
      </w:r>
    </w:p>
    <w:bookmarkEnd w:id="21"/>
    <w:bookmarkStart w:id="25" w:name="X2e716f879c704c6a94f6a9ce48c44f19fe1fd2e"/>
    <w:p>
      <w:pPr>
        <w:pStyle w:val="Heading2"/>
      </w:pPr>
      <w:r>
        <w:rPr>
          <w:bCs/>
          <w:b/>
        </w:rPr>
        <w:t xml:space="preserve">3. Strategic Objectives: Enhancing the Teacher Secondary Role</w:t>
      </w:r>
    </w:p>
    <w:p>
      <w:pPr>
        <w:pStyle w:val="FirstParagraph"/>
      </w:pPr>
      <w:r>
        <w:t xml:space="preserve">To effectively address these challenges, this project has established three core strategic pillars:</w:t>
      </w:r>
    </w:p>
    <w:bookmarkStart w:id="22" w:name="X18c3ff3935dca4a41a17cb1ee69e7af297c1d7d"/>
    <w:p>
      <w:pPr>
        <w:pStyle w:val="Heading3"/>
      </w:pPr>
      <w:r>
        <w:rPr>
          <w:bCs/>
          <w:b/>
        </w:rPr>
        <w:t xml:space="preserve">a) Pedagogical Innovation and Competency Development</w:t>
      </w:r>
    </w:p>
    <w:p>
      <w:pPr>
        <w:pStyle w:val="FirstParagraph"/>
      </w:pPr>
      <w:r>
        <w:t xml:space="preserve">The traditional lecture-based model is insufficient for the modern adolescent. This project mandates continuous training for the</w:t>
      </w:r>
      <w:r>
        <w:t xml:space="preserve"> </w:t>
      </w:r>
      <w:r>
        <w:rPr>
          <w:iCs/>
          <w:i/>
        </w:rPr>
        <w:t xml:space="preserve">Teacher Secondary</w:t>
      </w:r>
    </w:p>
    <w:p>
      <w:pPr>
        <w:pStyle w:val="BodyText"/>
      </w:pPr>
      <w:r>
        <w:t xml:space="preserve">Pedagogical strategies will shift toward collaborative learning, critical thinking exercises, and problem-based learning (PBL). Special emphasis will be placed on STEM (Science, Technology, Engineering, and Mathematics) education to prepare students for the demands of the 21st-century job market. Training modules will include workshops on differentiated instruction to ensure that students with varying levels of preparation can succeed in the same classroom environment.</w:t>
      </w:r>
    </w:p>
    <w:bookmarkEnd w:id="22"/>
    <w:bookmarkStart w:id="23" w:name="Xf6277c3fea6b3a26d19ab4f9b08ececbcd7ec11"/>
    <w:p>
      <w:pPr>
        <w:pStyle w:val="Heading3"/>
      </w:pPr>
      <w:r>
        <w:rPr>
          <w:bCs/>
          <w:b/>
        </w:rPr>
        <w:t xml:space="preserve">b) Technological Integration in Urban Classrooms</w:t>
      </w:r>
    </w:p>
    <w:p>
      <w:pPr>
        <w:pStyle w:val="FirstParagraph"/>
      </w:pPr>
      <w:r>
        <w:t xml:space="preserve">In a city like</w:t>
      </w:r>
      <w:r>
        <w:t xml:space="preserve"> </w:t>
      </w:r>
      <w:r>
        <w:rPr>
          <w:iCs/>
          <w:i/>
        </w:rPr>
        <w:t xml:space="preserve">Colombia Bogotá</w:t>
      </w:r>
    </w:p>
    <w:p>
      <w:pPr>
        <w:pStyle w:val="BodyText"/>
      </w:pPr>
      <w:r>
        <w:t xml:space="preserve">The project includes the deployment of digital platforms tailored to the Colombian curriculum. These tools will not only assist in lesson planning but also provide real-time analytics on student performance, allowing the</w:t>
      </w:r>
      <w:r>
        <w:t xml:space="preserve"> </w:t>
      </w:r>
      <w:r>
        <w:rPr>
          <w:iCs/>
          <w:i/>
        </w:rPr>
        <w:t xml:space="preserve">Teacher Secondary</w:t>
      </w:r>
    </w:p>
    <w:p>
      <w:pPr>
        <w:pStyle w:val="BodyText"/>
      </w:pPr>
      <w:r>
        <w:t xml:space="preserve">Mentality shifts are required here; technology is viewed as an enabler rather than a replacement for human interaction. Workshops will focus on digital citizenship, ensuring that students learn to navigate online spaces responsibly—a critical skill for teenagers in a highly connected metropolis.</w:t>
      </w:r>
    </w:p>
    <w:bookmarkEnd w:id="23"/>
    <w:bookmarkStart w:id="24" w:name="X955877b9ba1474310ae4c81c87190ef811bb5db"/>
    <w:p>
      <w:pPr>
        <w:pStyle w:val="Heading3"/>
      </w:pPr>
      <w:r>
        <w:rPr>
          <w:bCs/>
          <w:b/>
        </w:rPr>
        <w:t xml:space="preserve">c) Socio-Emotional Learning and Community Connection</w:t>
      </w:r>
    </w:p>
    <w:p>
      <w:pPr>
        <w:pStyle w:val="FirstParagraph"/>
      </w:pPr>
      <w:r>
        <w:t xml:space="preserve">The</w:t>
      </w:r>
      <w:r>
        <w:t xml:space="preserve"> </w:t>
      </w:r>
      <w:r>
        <w:rPr>
          <w:iCs/>
          <w:i/>
        </w:rPr>
        <w:t xml:space="preserve">Teacher Secondary</w:t>
      </w:r>
    </w:p>
    <w:p>
      <w:pPr>
        <w:pStyle w:val="BodyText"/>
      </w:pPr>
      <w:r>
        <w:t xml:space="preserve">This involves creating "safe spaces" within schools where students feel heard. Training will include conflict resolution, trauma-informed teaching practices, and mental health first aid. Recognizing that many students in</w:t>
      </w:r>
      <w:r>
        <w:t xml:space="preserve"> </w:t>
      </w:r>
      <w:r>
        <w:rPr>
          <w:iCs/>
          <w:i/>
        </w:rPr>
        <w:t xml:space="preserve">Colombia Bogotá</w:t>
      </w:r>
    </w:p>
    <w:p>
      <w:pPr>
        <w:pStyle w:val="BodyText"/>
      </w:pPr>
      <w:r>
        <w:t xml:space="preserve">Furthermore, the project emphasizes community outreach. Teachers will be encouraged to engage with local leaders and families to bridge the gap between school and home. This holistic approach ensures that education is seen as a shared responsibility of the entire urban community.</w:t>
      </w:r>
    </w:p>
    <w:bookmarkEnd w:id="24"/>
    <w:bookmarkEnd w:id="25"/>
    <w:bookmarkStart w:id="29" w:name="implementation-methodology"/>
    <w:p>
      <w:pPr>
        <w:pStyle w:val="Heading2"/>
      </w:pPr>
      <w:r>
        <w:rPr>
          <w:bCs/>
          <w:b/>
        </w:rPr>
        <w:t xml:space="preserve">4. Implementation Methodology</w:t>
      </w:r>
    </w:p>
    <w:p>
      <w:pPr>
        <w:pStyle w:val="FirstParagraph"/>
      </w:pPr>
      <w:r>
        <w:t xml:space="preserve">The rollout of this initiative follows a phased approach designed to ensure sustainability and measurable impact.</w:t>
      </w:r>
    </w:p>
    <w:bookmarkStart w:id="26" w:name="phase-1-pilot-program-months-1-6"/>
    <w:p>
      <w:pPr>
        <w:pStyle w:val="Heading3"/>
      </w:pPr>
      <w:r>
        <w:rPr>
          <w:bCs/>
          <w:b/>
        </w:rPr>
        <w:t xml:space="preserve">Phase 1: Pilot Program (Months 1-6)</w:t>
      </w:r>
    </w:p>
    <w:p>
      <w:pPr>
        <w:pStyle w:val="FirstParagraph"/>
      </w:pPr>
      <w:r>
        <w:t xml:space="preserve">Selecting pilot schools across different socio-economic districts of</w:t>
      </w:r>
      <w:r>
        <w:t xml:space="preserve"> </w:t>
      </w:r>
      <w:r>
        <w:rPr>
          <w:iCs/>
          <w:i/>
        </w:rPr>
        <w:t xml:space="preserve">Bogotá</w:t>
      </w:r>
    </w:p>
    <w:p>
      <w:pPr>
        <w:pStyle w:val="BodyText"/>
      </w:pPr>
      <w:r>
        <w:t xml:space="preserve">This phase allows for the identification of local challenges specific to each locality. It provides a safe environment to test pedagogical tools and gather baseline data on teacher confidence and student engagement.</w:t>
      </w:r>
    </w:p>
    <w:bookmarkEnd w:id="26"/>
    <w:bookmarkStart w:id="27" w:name="Xdbecf61d5ecf808ea45215e266b1cf097d48e89"/>
    <w:p>
      <w:pPr>
        <w:pStyle w:val="Heading3"/>
      </w:pPr>
      <w:r>
        <w:rPr>
          <w:bCs/>
          <w:b/>
        </w:rPr>
        <w:t xml:space="preserve">Phase 2: Expansion and Training (Months 7-18)</w:t>
      </w:r>
    </w:p>
    <w:p>
      <w:pPr>
        <w:pStyle w:val="FirstParagraph"/>
      </w:pPr>
      <w:r>
        <w:t xml:space="preserve">Based on pilot results, the project expands to cover a broader range of secondary schools. A massive training campaign is launched for the</w:t>
      </w:r>
      <w:r>
        <w:t xml:space="preserve"> </w:t>
      </w:r>
      <w:r>
        <w:rPr>
          <w:iCs/>
          <w:i/>
        </w:rPr>
        <w:t xml:space="preserve">Teacher Secondary</w:t>
      </w:r>
    </w:p>
    <w:p>
      <w:pPr>
        <w:pStyle w:val="BodyText"/>
      </w:pPr>
      <w:r>
        <w:t xml:space="preserve">This phase includes the establishment of "Communities of Practice," where teachers meet regularly to share successes and troubleshoot challenges. Mentorship programs pair experienced educators with newer teachers, fostering a supportive professional network.</w:t>
      </w:r>
    </w:p>
    <w:bookmarkEnd w:id="27"/>
    <w:bookmarkStart w:id="28" w:name="Xfd689e3a1ed360bd3998e447ec635c27280c846"/>
    <w:p>
      <w:pPr>
        <w:pStyle w:val="Heading3"/>
      </w:pPr>
      <w:r>
        <w:rPr>
          <w:bCs/>
          <w:b/>
        </w:rPr>
        <w:t xml:space="preserve">Phase 3: Monitoring, Evaluation, and Adjustment (Months 19-24)</w:t>
      </w:r>
    </w:p>
    <w:p>
      <w:pPr>
        <w:pStyle w:val="FirstParagraph"/>
      </w:pPr>
      <w:r>
        <w:t xml:space="preserve">Rigorous evaluation metrics are employed to assess the success of the</w:t>
      </w:r>
      <w:r>
        <w:t xml:space="preserve"> </w:t>
      </w:r>
      <w:r>
        <w:rPr>
          <w:iCs/>
          <w:i/>
        </w:rPr>
        <w:t xml:space="preserve">Project Report</w:t>
      </w:r>
    </w:p>
    <w:p>
      <w:pPr>
        <w:pStyle w:val="BodyText"/>
      </w:pPr>
      <w:r>
        <w:t xml:space="preserve">Data is collected on attendance rates, standardized test scores, teacher retention rates, and student satisfaction surveys. Regular feedback loops allow for mid-course corrections. If certain training modules are found to be ineffective, they are revised immediately based on real-world classroom observations.</w:t>
      </w:r>
    </w:p>
    <w:bookmarkEnd w:id="28"/>
    <w:bookmarkEnd w:id="29"/>
    <w:bookmarkStart w:id="30" w:name="challenges-and-risk-mitigation"/>
    <w:p>
      <w:pPr>
        <w:pStyle w:val="Heading2"/>
      </w:pPr>
      <w:r>
        <w:rPr>
          <w:bCs/>
          <w:b/>
        </w:rPr>
        <w:t xml:space="preserve">5. Challenges and Risk Mitigation</w:t>
      </w:r>
    </w:p>
    <w:p>
      <w:pPr>
        <w:pStyle w:val="FirstParagraph"/>
      </w:pPr>
      <w:r>
        <w:t xml:space="preserve">While the objectives are clear, several risks must be managed:</w:t>
      </w:r>
    </w:p>
    <w:p>
      <w:pPr>
        <w:numPr>
          <w:ilvl w:val="0"/>
          <w:numId w:val="1001"/>
        </w:numPr>
        <w:pStyle w:val="Compact"/>
      </w:pPr>
      <w:r>
        <w:rPr>
          <w:bCs/>
          <w:b/>
        </w:rPr>
        <w:t xml:space="preserve">Budgetary Constraints:</w:t>
      </w:r>
    </w:p>
    <w:p>
      <w:pPr>
        <w:numPr>
          <w:ilvl w:val="0"/>
          <w:numId w:val="1001"/>
        </w:numPr>
        <w:pStyle w:val="Compact"/>
      </w:pPr>
      <w:r>
        <w:t xml:space="preserve">The economic volatility in</w:t>
      </w:r>
      <w:r>
        <w:t xml:space="preserve"> </w:t>
      </w:r>
      <w:r>
        <w:rPr>
          <w:iCs/>
          <w:i/>
        </w:rPr>
        <w:t xml:space="preserve">Colombia Bogotá</w:t>
      </w:r>
    </w:p>
    <w:p>
      <w:pPr>
        <w:numPr>
          <w:ilvl w:val="0"/>
          <w:numId w:val="1001"/>
        </w:numPr>
        <w:pStyle w:val="Compact"/>
      </w:pPr>
      <w:r>
        <w:t xml:space="preserve">Risk Mitigation: Diversify funding sources by partnering with international NGOs, corporate social responsibility programs from local businesses, and government grants. Establish transparent financial reporting to build trust among stakeholders.</w:t>
      </w:r>
    </w:p>
    <w:p>
      <w:pPr>
        <w:numPr>
          <w:ilvl w:val="0"/>
          <w:numId w:val="1001"/>
        </w:numPr>
        <w:pStyle w:val="Compact"/>
      </w:pPr>
      <w:r>
        <w:rPr>
          <w:bCs/>
          <w:b/>
        </w:rPr>
        <w:t xml:space="preserve">Teacher Resistance to Change:</w:t>
      </w:r>
    </w:p>
    <w:p>
      <w:pPr>
        <w:numPr>
          <w:ilvl w:val="0"/>
          <w:numId w:val="1001"/>
        </w:numPr>
        <w:pStyle w:val="Compact"/>
      </w:pPr>
      <w:r>
        <w:t xml:space="preserve">Sometimes veteran teachers may resist new pedagogical methods or technology integration.Risk Mitigation: Emphasize the voluntary nature of professional growth opportunities initially. Highlight success stories from early adopters. Provide extensive hands-on support rather than just theoretical training. Ensure that the</w:t>
      </w:r>
      <w:r>
        <w:t xml:space="preserve"> </w:t>
      </w:r>
      <w:r>
        <w:rPr>
          <w:iCs/>
          <w:i/>
        </w:rPr>
        <w:t xml:space="preserve">Teacher Secondary</w:t>
      </w:r>
    </w:p>
    <w:p>
      <w:pPr>
        <w:numPr>
          <w:ilvl w:val="0"/>
          <w:numId w:val="1001"/>
        </w:numPr>
        <w:pStyle w:val="Compact"/>
      </w:pPr>
      <w:r>
        <w:rPr>
          <w:bCs/>
          <w:b/>
        </w:rPr>
        <w:t xml:space="preserve">Digital Divide:</w:t>
      </w:r>
    </w:p>
    <w:bookmarkEnd w:id="30"/>
    <w:bookmarkStart w:id="31" w:name="expected-outcomes-and-impact"/>
    <w:p>
      <w:pPr>
        <w:pStyle w:val="Heading2"/>
      </w:pPr>
      <w:r>
        <w:rPr>
          <w:bCs/>
          <w:b/>
        </w:rPr>
        <w:t xml:space="preserve">6. Expected Outcomes and Impact</w:t>
      </w:r>
    </w:p>
    <w:p>
      <w:pPr>
        <w:pStyle w:val="FirstParagraph"/>
      </w:pPr>
      <w:r>
        <w:t xml:space="preserve">The successful execution of this</w:t>
      </w:r>
      <w:r>
        <w:t xml:space="preserve"> </w:t>
      </w:r>
      <w:r>
        <w:rPr>
          <w:iCs/>
          <w:i/>
        </w:rPr>
        <w:t xml:space="preserve">Project Report</w:t>
      </w:r>
    </w:p>
    <w:p>
      <w:pPr>
        <w:numPr>
          <w:ilvl w:val="0"/>
          <w:numId w:val="1002"/>
        </w:numPr>
        <w:pStyle w:val="Compact"/>
      </w:pPr>
      <w:r>
        <w:rPr>
          <w:bCs/>
          <w:b/>
        </w:rPr>
        <w:t xml:space="preserve">Elevated Academic Standards:</w:t>
      </w:r>
    </w:p>
    <w:p>
      <w:pPr>
        <w:numPr>
          <w:ilvl w:val="0"/>
          <w:numId w:val="1002"/>
        </w:numPr>
        <w:pStyle w:val="Compact"/>
      </w:pPr>
      <w:r>
        <w:t xml:space="preserve">An measurable increase in standardized test scores for secondary students across participating schools. A reduction in the dropout rate, particularly during the critical transition years between primary and secondary education.</w:t>
      </w:r>
    </w:p>
    <w:p>
      <w:pPr>
        <w:numPr>
          <w:ilvl w:val="0"/>
          <w:numId w:val="1002"/>
        </w:numPr>
        <w:pStyle w:val="Compact"/>
      </w:pPr>
      <w:r>
        <w:rPr>
          <w:bCs/>
          <w:b/>
        </w:rPr>
        <w:t xml:space="preserve">Empowered Educators:</w:t>
      </w:r>
    </w:p>
    <w:p>
      <w:pPr>
        <w:numPr>
          <w:ilvl w:val="0"/>
          <w:numId w:val="1002"/>
        </w:numPr>
        <w:pStyle w:val="Compact"/>
      </w:pPr>
      <w:r>
        <w:rPr>
          <w:bCs/>
          <w:b/>
        </w:rPr>
        <w:t xml:space="preserve">Social Cohesion:</w:t>
      </w:r>
    </w:p>
    <w:p>
      <w:pPr>
        <w:numPr>
          <w:ilvl w:val="0"/>
          <w:numId w:val="1002"/>
        </w:numPr>
        <w:pStyle w:val="Compact"/>
      </w:pPr>
      <w:r>
        <w:rPr>
          <w:bCs/>
          <w:b/>
        </w:rPr>
        <w:t xml:space="preserve">Policy Influence:</w:t>
      </w:r>
    </w:p>
    <w:bookmarkEnd w:id="31"/>
    <w:bookmarkStart w:id="32" w:name="conclusion"/>
    <w:p>
      <w:pPr>
        <w:pStyle w:val="Heading2"/>
      </w:pPr>
      <w:r>
        <w:rPr>
          <w:bCs/>
          <w:b/>
        </w:rPr>
        <w:t xml:space="preserve">7. Conclusion</w:t>
      </w:r>
    </w:p>
    <w:p>
      <w:pPr>
        <w:pStyle w:val="FirstParagraph"/>
      </w:pPr>
      <w:r>
        <w:t xml:space="preserve">This</w:t>
      </w:r>
      <w:r>
        <w:t xml:space="preserve"> </w:t>
      </w:r>
      <w:r>
        <w:rPr>
          <w:iCs/>
          <w:i/>
        </w:rPr>
        <w:t xml:space="preserve">Project Report</w:t>
      </w:r>
    </w:p>
    <w:p>
      <w:pPr>
        <w:pStyle w:val="BodyText"/>
      </w:pPr>
      <w:r>
        <w:t xml:space="preserve">The focus on the</w:t>
      </w:r>
      <w:r>
        <w:t xml:space="preserve"> </w:t>
      </w:r>
      <w:r>
        <w:rPr>
          <w:iCs/>
          <w:i/>
        </w:rPr>
        <w:t xml:space="preserve">Teacher Secondary</w:t>
      </w:r>
    </w:p>
    <w:p>
      <w:pPr>
        <w:pStyle w:val="BodyText"/>
      </w:pPr>
      <w:r>
        <w:t xml:space="preserve">In conclusion, investing in high-quality secondary education is an investment in the future of</w:t>
      </w:r>
      <w:r>
        <w:t xml:space="preserve"> </w:t>
      </w:r>
      <w:r>
        <w:rPr>
          <w:iCs/>
          <w:i/>
        </w:rPr>
        <w:t xml:space="preserve">Bogotá</w:t>
      </w:r>
      <w:r>
        <w:t xml:space="preserve">. By empowering teachers with the right tools, training, and support, we can transform classrooms into dynamic environments of learning and growth. This initiative represents a critical step toward ensuring that every adolescent in</w:t>
      </w:r>
      <w:r>
        <w:t xml:space="preserve"> </w:t>
      </w:r>
      <w:r>
        <w:rPr>
          <w:iCs/>
          <w:i/>
        </w:rPr>
        <w:t xml:space="preserve">Colombia Bogotá</w:t>
      </w:r>
      <w:r>
        <w:t xml:space="preserve">, regardless of their background, has access to an education that prepares them for the challenges and opportunities of the modern world. The success of this project depends on the collective commitment of educators, policymakers, families, and society at large.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Colombia Bogotá</dc:title>
  <dc:creator/>
  <dc:language>en</dc:language>
  <cp:keywords/>
  <dcterms:created xsi:type="dcterms:W3CDTF">2026-07-29T13:26:48Z</dcterms:created>
  <dcterms:modified xsi:type="dcterms:W3CDTF">2026-07-29T13:26:48Z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