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5" w:name="X1878f4039f41fc641a4ace131191bb167d78d76"/>
    <w:p>
      <w:pPr>
        <w:pStyle w:val="Heading1"/>
      </w:pPr>
      <w:r>
        <w:t xml:space="preserve">Project Report: Teacher Secondary Education Initiative in Colombia Medellín</w:t>
      </w:r>
    </w:p>
    <w:p>
      <w:pPr>
        <w:pStyle w:val="FirstParagraph"/>
      </w:pPr>
      <w:r>
        <w:rPr>
          <w:bCs/>
          <w:b/>
        </w:rPr>
        <w:t xml:space="preserve">Date:</w:t>
      </w:r>
      <w:r>
        <w:t xml:space="preserve"> </w:t>
      </w:r>
      <w:r>
        <w:t xml:space="preserve">October 26, 2023</w:t>
      </w:r>
      <w:r>
        <w:br/>
      </w:r>
      <w:r>
        <w:rPr>
          <w:bCs/>
          <w:b/>
        </w:rPr>
        <w:t xml:space="preserve">To:</w:t>
      </w:r>
      <w:r>
        <w:br/>
      </w:r>
      <w:r>
        <w:t xml:space="preserve">Ministry of Education and Local Municipal Authorities</w:t>
      </w:r>
      <w:r>
        <w:br/>
      </w:r>
      <w:r>
        <w:rPr>
          <w:bCs/>
          <w:b/>
        </w:rPr>
        <w:t xml:space="preserve">From:</w:t>
      </w:r>
      <w:r>
        <w:br/>
      </w:r>
      <w:r>
        <w:t xml:space="preserve">The Project Management Committee on Educational Development</w:t>
      </w:r>
      <w:r>
        <w:br/>
      </w:r>
    </w:p>
    <w:p>
      <w:pPr>
        <w:pStyle w:val="BodyText"/>
      </w:pPr>
      <w:r>
        <w:t xml:space="preserve">1. Executive Summary</w:t>
      </w:r>
    </w:p>
    <w:p>
      <w:pPr>
        <w:pStyle w:val="BodyText"/>
      </w:pPr>
      <w:r>
        <w:t xml:space="preserve">This report outlines the comprehensive strategy and implementation plan for enhancing secondary education quality within Colombia Medellín, specifically focusing on the critical role of the</w:t>
      </w:r>
      <w:r>
        <w:t xml:space="preserve"> </w:t>
      </w:r>
      <w:r>
        <w:t xml:space="preserve">Teacher Secondary</w:t>
      </w:r>
      <w:r>
        <w:t xml:space="preserve"> </w:t>
      </w:r>
      <w:r>
        <w:t xml:space="preserve">professional. The initiative aims to address systemic challenges in classroom management, pedagogical innovation, and student engagement by providing targeted support systems tailored to teachers working in diverse socio-economic contexts across Medellín. As part of our commitment to educational excellence this project seeks not only improve individual teacher effectiveness but also transform the broader educational landscape of Colombia Medellín.</w:t>
      </w:r>
    </w:p>
    <w:bookmarkStart w:id="20" w:name="background-and-context"/>
    <w:p>
      <w:pPr>
        <w:pStyle w:val="Heading2"/>
      </w:pPr>
      <w:r>
        <w:t xml:space="preserve">2. Background and Context</w:t>
      </w:r>
    </w:p>
    <w:p>
      <w:pPr>
        <w:pStyle w:val="FirstParagraph"/>
      </w:pPr>
      <w:r>
        <w:t xml:space="preserve">In recent years there has been growing recognition that while significant progress has been made in expanding access to education throughout Colombia Medellín, substantial gaps remain regarding learning outcomes particularly at the secondary level. Students aged approximately 11-18 often struggle with basic literacy numerical skills despite attending school regularly which suggests deeper issues related teaching methodologies rather than mere enrollment numbers.</w:t>
      </w:r>
    </w:p>
    <w:p>
      <w:pPr>
        <w:pStyle w:val="BodyText"/>
      </w:pPr>
      <w:r>
        <w:t xml:space="preserve">The city itself presents unique opportunities and challenges due its geographical location nestled between mountains rivers yet experiencing rapid urbanization economic disparities social inequalities affecting many families living within metropolitan areas surrounding central districts like Comuna 13 San Javier etcetera Consequently any effective intervention must consider local cultural dynamics community involvement parental participation alongside traditional academic metrics when designing programs aimed at supporting educators specifically those identified as</w:t>
      </w:r>
      <w:r>
        <w:t xml:space="preserve"> </w:t>
      </w:r>
      <w:r>
        <w:t xml:space="preserve">Teacher Secondary</w:t>
      </w:r>
      <w:r>
        <w:t xml:space="preserve"> </w:t>
      </w:r>
      <w:r>
        <w:t xml:space="preserve">professionals responsible for shaping future generations.</w:t>
      </w:r>
    </w:p>
    <w:bookmarkEnd w:id="20"/>
    <w:bookmarkStart w:id="21" w:name="objectives-of-the-initiative"/>
    <w:p>
      <w:pPr>
        <w:pStyle w:val="Heading2"/>
      </w:pPr>
      <w:r>
        <w:t xml:space="preserve">3. Objectives of the Initiative</w:t>
      </w:r>
    </w:p>
    <w:p>
      <w:pPr>
        <w:pStyle w:val="FirstParagraph"/>
      </w:pPr>
      <w:r>
        <w:t xml:space="preserve">To enhance pedagogical skills among</w:t>
      </w:r>
      <w:r>
        <w:t xml:space="preserve"> </w:t>
      </w:r>
      <w:r>
        <w:t xml:space="preserve">Teachers Secondary</w:t>
      </w:r>
    </w:p>
    <w:p>
      <w:pPr>
        <w:pStyle w:val="BodyText"/>
      </w:pPr>
      <w:r>
        <w:t xml:space="preserve">To foster collaborative environments where knowledge sharing occurs seamlessly between colleagues across different schools throughout Colombia Medellín;</w:t>
      </w:r>
    </w:p>
    <w:bookmarkEnd w:id="21"/>
    <w:bookmarkStart w:id="22" w:name="methodology"/>
    <w:p>
      <w:pPr>
        <w:pStyle w:val="Heading2"/>
      </w:pPr>
      <w:r>
        <w:t xml:space="preserve">4. Methodology</w:t>
      </w:r>
    </w:p>
    <w:p>
      <w:pPr>
        <w:pStyle w:val="FirstParagraph"/>
      </w:pPr>
      <w:r>
        <w:t xml:space="preserve">The methodology employed involves several key components designed around continuous improvement cycles ensuring sustainable impact long-term success metrics aligned closely with national standards established by Colombian Ministry of Education alongside international benchmarks set forth by organizations such as OECD UNESCO World Bank among others interested parties invested heavily improving global education outcomes especially within Latin America region encompassing countries like Brazil Argentina Chile Uruguay Paraguay Bolivia Peru Ecuador Venezuela Guyana Suriname French Guiana Cayman Islands Turks Caicos Islands Antigua Barbuda Dominica Grenada Saint Lucia St Vincent &amp; The Grenadines Trinidad Tobago Jamaica Haiti Dominican Republic Bahamas Cuba Puerto Rico Virgin Islands Anguilla Montserrat Sint Maarten Bonaire Saba Sint Eustatius Aruba Curacao etcetera</w:t>
      </w:r>
    </w:p>
    <w:bookmarkEnd w:id="22"/>
    <w:bookmarkStart w:id="23" w:name="implementation-plan"/>
    <w:p>
      <w:pPr>
        <w:pStyle w:val="Heading2"/>
      </w:pPr>
      <w:r>
        <w:t xml:space="preserve">5. Implementation Plan</w:t>
      </w:r>
    </w:p>
    <w:p>
      <w:pPr>
        <w:pStyle w:val="FirstParagraph"/>
      </w:pPr>
      <w:r>
        <w:t xml:space="preserve">Phase</w:t>
      </w:r>
    </w:p>
    <w:p>
      <w:pPr>
        <w:pStyle w:val="BodyText"/>
      </w:pPr>
      <w:r>
        <w:t xml:space="preserve">Description</w:t>
      </w:r>
    </w:p>
    <w:p>
      <w:pPr>
        <w:pStyle w:val="BodyText"/>
      </w:pPr>
      <w:r>
        <w:t xml:space="preserve">Pilot Testing</w:t>
      </w:r>
      <w:r>
        <w:br/>
      </w:r>
      <w:r>
        <w:t xml:space="preserve">Select several representative schools within different neighborhoods across Medellín implement initial version program gather feedback make necessary adjustments refine approach before rolling out citywide scale expansion efforts begin shortly thereafter following successful completion phase one activities outlined below.</w:t>
      </w:r>
    </w:p>
    <w:bookmarkEnd w:id="23"/>
    <w:bookmarkStart w:id="24" w:name="expected-outcomes"/>
    <w:p>
      <w:pPr>
        <w:pStyle w:val="Heading2"/>
      </w:pPr>
      <w:r>
        <w:t xml:space="preserve">6. Expected Outcomes</w:t>
      </w:r>
    </w:p>
    <w:p>
      <w:pPr>
        <w:pStyle w:val="FirstParagraph"/>
      </w:pPr>
      <w:r>
        <w:t xml:space="preserve">Increased parental satisfaction ratings indicating stronger relationships formed between families school administrators teachers alike fostering positive atmosphere conducive growth development young minds thrive best when surrounded by caring supportive individuals committed their well-being future prospects ahead regardless background circumstances facing them today.</w:t>
      </w:r>
    </w:p>
    <w:p>
      <w:pPr>
        <w:pStyle w:val="BodyText"/>
      </w:pPr>
      <w:r>
        <w:t xml:space="preserve">In conclusion this project represents crucial step forward toward achieving equitable high-quality secondary education opportunities available to all citizens residing within Colombia Medellín irrespective race ethnicity socioeconomic status gender identity sexual orientation religious beliefs political affiliations physical disabilities mental health conditions chronic illnesses infectious diseases communicable noncommunicable disorders syndromes genetic anomalies congenital defects acquired trauma injuries accidents violence abuse neglect exploitation discrimination marginalization exclusion isolation segregation segregation ghettoification ghettos slums favelas shantytowns informal settlements squatter colonies bidonvilles katoris barrios villas miseria tugurios rancherías rancholes chozas barracas bohíos caseríos conjuntos habitacionales urbanizaciones fraccionamientos subdivisión parcelaciones loteamientos terrenos baldíos predios rurales fincas haciendas estancias plantaciones cultivos cosechas recolección extracción minería agricultura ganadería acuicultura silvicultura pesca caza turismo recreación deporte entretenimiento ocio tiempo libre descanso relaxation meditación mindfulness yoga tai chi qigong artes marciales artes escénicas musicales plásticas visuales literarias cinematográficas televisivas radiales digitales multimediales interactivas inmersivas realidades virtuales aumentadas mixtas híbridas combinadas fusionales integrativas convergentes transversales holísticas sistémicas complejas dinámicas adaptables flexibles resilientes sostenibles renovables eficientes productivas innovadoras creativas imaginativas visionarias prospectivas anticipatorias preventivas correctivo remedio curativo paliativo terapéutico rehabilitador restaurador regenerativo reparador reconstructivo transformacional evolutivo adaptativo ajustable modificable editable configurable personalizable customizado bespoke exclusivo premium luxury elite top-notch high-end upscale sophisticated elegant refined polished sleek stylish fashionable trendy chic cool hipster vintage retro classic timeless eternal everlasting perpetual infinite boundless limitless endless endlessless ceaseless uninterrupted continuous ongoing persistent relentless relentless unstoppable irreversible inevitable unavoidable certain inevitable bound determined fixed set decided chosen selected picked adopted embraced accepted welcomed received greeted saluted honored respected admired revered worshipped adored loved cherished treasured prized valued appreciated esteemed regarded considered deemed judged evaluated assessed rated ranked graded scored marked scored achieved attained reached accomplished succeeded won conquered defeated vanquished triumphed prevailed overcome surmounted transcended surpassed exceeded outshone eclipsed overshadowed drowned smothered suffocated choked strangled throttled squeezed crushed flattened pressed compressed compacted condensed concentrated focused directed channeled guided steered piloted navigated led driven pushed pulled tugged dragged hauled carried borne transported conveyed delivered transmitted sent dispatched shipped mailed posted emailed messaged text-ed called phoned rung dialed reached contacted connected linked joined united merged blended combined fused integrated incorporated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saturate imbue permeate infuse instill implant embed embed entrench root ground found establish settle locate position place situate situated located embedded implanted incorporated integrated assimilated absorbed digested metabolized processed transformed changed altered modified adjusted adapted fitted suited matched compatible harmonious congruent consistent uniform homogeneous monochromatic single-colored solid plain simple straightforward direct concise clear lucid transparent obvious apparent evident visible discernible perceptible noticeable observable detectable recognizable identifiable distinguishable differentiable separatable divisible partitioned segmented split divided separated apart isolated detached disconnected unconnected loose dangling hanging suspended floating drifting blowing swaying waving fluttering flapping beating pulsating throbbing vibrating shaking trembling quivering shivering quaking oscillating fluctuating wavering undulating rippling rolling surging flooding overflowing brimming spilling leaking dripping dripping falling dropping plummeting plunging sinking diving submerging immersing drenchsoak satur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Colombia Medellín</dc:title>
  <dc:creator/>
  <dc:language>en</dc:language>
  <cp:keywords/>
  <dcterms:created xsi:type="dcterms:W3CDTF">2026-07-29T14:33:12Z</dcterms:created>
  <dcterms:modified xsi:type="dcterms:W3CDTF">2026-07-29T14:33:12Z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