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Teacher</w:t>
      </w:r>
      <w:r>
        <w:t xml:space="preserve"> </w:t>
      </w:r>
      <w:r>
        <w:t xml:space="preserve">Secondary</w:t>
      </w:r>
      <w:r>
        <w:t xml:space="preserve"> </w:t>
      </w:r>
      <w:r>
        <w:t xml:space="preserve">in</w:t>
      </w:r>
      <w:r>
        <w:t xml:space="preserve"> </w:t>
      </w:r>
      <w:r>
        <w:t xml:space="preserve">Egypt</w:t>
      </w:r>
      <w:r>
        <w:t xml:space="preserve"> </w:t>
      </w:r>
      <w:r>
        <w:t xml:space="preserve">Alexandria</w:t>
      </w:r>
    </w:p>
    <w:bookmarkStart w:id="31" w:name="Xa56015235e32d15d591e7250ae464d09d800c20"/>
    <w:p>
      <w:pPr>
        <w:pStyle w:val="Heading1"/>
      </w:pPr>
      <w:r>
        <w:t xml:space="preserve">Project Report: Implementation and Strategic Deployment of Teacher Secondary Education in Egypt Alexandria</w:t>
      </w:r>
    </w:p>
    <w:p>
      <w:pPr>
        <w:pStyle w:val="FirstParagraph"/>
      </w:pPr>
      <w:r>
        <w:rPr>
          <w:bCs/>
          <w:b/>
        </w:rPr>
        <w:t xml:space="preserve">Date:</w:t>
      </w:r>
      <w:r>
        <w:t xml:space="preserve"> </w:t>
      </w:r>
      <w:r>
        <w:t xml:space="preserve">October 26, 2023</w:t>
      </w:r>
      <w:r>
        <w:br/>
      </w:r>
      <w:r>
        <w:rPr>
          <w:bCs/>
          <w:b/>
        </w:rPr>
        <w:t xml:space="preserve">To:</w:t>
      </w:r>
      <w:r>
        <w:t xml:space="preserve">The Ministry of Education and Technical Vocational Education, Egyptian Arab Republic</w:t>
      </w:r>
      <w:r>
        <w:br/>
      </w:r>
    </w:p>
    <w:p>
      <w:pPr>
        <w:pStyle w:val="BodyText"/>
      </w:pPr>
      <w:r>
        <w:t xml:space="preserve">From:Educational Development Committee – Alexandria Regional Office</w:t>
      </w:r>
      <w:r>
        <w:br/>
      </w:r>
    </w:p>
    <w:p>
      <w:pPr>
        <w:pStyle w:val="BodyText"/>
      </w:pPr>
      <w:r>
        <w:t xml:space="preserve">Subject:A Comprehensive Framework for Enhancing Secondary Teacher Quality in Alexandria</w:t>
      </w:r>
    </w:p>
    <w:bookmarkStart w:id="20" w:name="executive-summary"/>
    <w:p>
      <w:pPr>
        <w:pStyle w:val="Heading2"/>
      </w:pPr>
      <w:r>
        <w:t xml:space="preserve">1. Executive Summary</w:t>
      </w:r>
    </w:p>
    <w:p>
      <w:pPr>
        <w:pStyle w:val="FirstParagraph"/>
      </w:pPr>
      <w:r>
        <w:t xml:space="preserve">This</w:t>
      </w:r>
      <w:r>
        <w:t xml:space="preserve"> </w:t>
      </w:r>
      <w:r>
        <w:rPr>
          <w:bCs/>
          <w:b/>
        </w:rPr>
        <w:t xml:space="preserve">Project ReportTeacher Secondary</w:t>
      </w:r>
      <w:r>
        <w:t xml:space="preserve"> </w:t>
      </w:r>
      <w:r>
        <w:t xml:space="preserve">education by aligning pedagogical practices with modern international standards while respecting local cultural contexts.This document serves as a foundational blueprint for stakeholders invested in the educational future of</w:t>
      </w:r>
      <w:r>
        <w:t xml:space="preserve"> </w:t>
      </w:r>
      <w:r>
        <w:rPr>
          <w:bCs/>
          <w:b/>
        </w:rPr>
        <w:t xml:space="preserve">Egypt Alexandria</w:t>
      </w:r>
      <w:r>
        <w:t xml:space="preserve">.</w:t>
      </w:r>
    </w:p>
    <w:bookmarkEnd w:id="20"/>
    <w:bookmarkStart w:id="21" w:name="background-and-context"/>
    <w:p>
      <w:pPr>
        <w:pStyle w:val="Heading2"/>
      </w:pPr>
      <w:r>
        <w:t xml:space="preserve">2. Background and Context</w:t>
      </w:r>
    </w:p>
    <w:p>
      <w:pPr>
        <w:pStyle w:val="FirstParagraph"/>
      </w:pPr>
      <w:r>
        <w:rPr>
          <w:bCs/>
          <w:b/>
        </w:rPr>
        <w:t xml:space="preserve">Egypt Alexandria</w:t>
      </w:r>
      <w:r>
        <w:t xml:space="preserve">, historically known as the "Bride of the Mediterranean," holds a prestigious position in Egyptian history and culture. However, its educational infrastructure is currently under significant strain due to rapid urbanization and population growth. The governorate boasts numerous historical institutions, but many secondary schools require modernization in terms of both facilities and human resources.</w:t>
      </w:r>
    </w:p>
    <w:p>
      <w:pPr>
        <w:pStyle w:val="BodyText"/>
      </w:pPr>
      <w:r>
        <w:t xml:space="preserve">The concept of</w:t>
      </w:r>
      <w:r>
        <w:t xml:space="preserve"> </w:t>
      </w:r>
      <w:r>
        <w:rPr>
          <w:bCs/>
          <w:b/>
        </w:rPr>
        <w:t xml:space="preserve">Teacher Secondary</w:t>
      </w:r>
      <w:r>
        <w:t xml:space="preserve"> </w:t>
      </w:r>
      <w:r>
        <w:t xml:space="preserve">education in this region has traditionally been rigorous but often relies on outdated methodologies. Recent government reforms in Egypt aim to shift the focus from rote memorization to critical thinking, digital literacy, and soft skills. To achieve these goals, the quality of instruction is paramount.This report argues that investing in high-quality</w:t>
      </w:r>
      <w:r>
        <w:t xml:space="preserve"> </w:t>
      </w:r>
      <w:r>
        <w:rPr>
          <w:bCs/>
          <w:b/>
        </w:rPr>
        <w:t xml:space="preserve">Teacher Secondary</w:t>
      </w:r>
      <w:r>
        <w:t xml:space="preserve"> </w:t>
      </w:r>
      <w:r>
        <w:t xml:space="preserve">professionals is the single most effective lever for improving student outcomes in</w:t>
      </w:r>
      <w:r>
        <w:t xml:space="preserve"> </w:t>
      </w:r>
      <w:r>
        <w:rPr>
          <w:bCs/>
          <w:b/>
        </w:rPr>
        <w:t xml:space="preserve">Egypt Alexandria</w:t>
      </w:r>
      <w:r>
        <w:t xml:space="preserve">.</w:t>
      </w:r>
    </w:p>
    <w:bookmarkEnd w:id="21"/>
    <w:bookmarkStart w:id="22" w:name="current-challenges-identified"/>
    <w:p>
      <w:pPr>
        <w:pStyle w:val="Heading2"/>
      </w:pPr>
      <w:r>
        <w:t xml:space="preserve">3. Current Challenges Identified</w:t>
      </w:r>
    </w:p>
    <w:p>
      <w:pPr>
        <w:pStyle w:val="FirstParagraph"/>
      </w:pPr>
      <w:r>
        <w:t xml:space="preserve">In analyzing the current state of education in the region, several key challenges have been identified:</w:t>
      </w:r>
    </w:p>
    <w:p>
      <w:pPr>
        <w:numPr>
          <w:ilvl w:val="0"/>
          <w:numId w:val="1001"/>
        </w:numPr>
        <w:pStyle w:val="Compact"/>
      </w:pPr>
      <w:r>
        <w:rPr>
          <w:bCs/>
          <w:b/>
        </w:rPr>
        <w:t xml:space="preserve">Digital Divide:</w:t>
      </w:r>
      <w:r>
        <w:br/>
      </w:r>
      <w:r>
        <w:t xml:space="preserve">A significant gap exists between urban centers and peripheral districts in</w:t>
      </w:r>
      <w:r>
        <w:t xml:space="preserve"> </w:t>
      </w:r>
      <w:r>
        <w:rPr>
          <w:bCs/>
          <w:b/>
        </w:rPr>
        <w:t xml:space="preserve">Egypt Alexandria</w:t>
      </w:r>
      <w:r>
        <w:t xml:space="preserve">. Many teachers lack access to reliable internet and modern educational technology, hindering their ability to deliver effective</w:t>
      </w:r>
      <w:r>
        <w:t xml:space="preserve"> </w:t>
      </w:r>
      <w:r>
        <w:rPr>
          <w:bCs/>
          <w:b/>
        </w:rPr>
        <w:t xml:space="preserve">Teacher Secondary</w:t>
      </w:r>
      <w:r>
        <w:t xml:space="preserve"> </w:t>
      </w:r>
      <w:r>
        <w:t xml:space="preserve">curricula that include STEM (Science, Technology, Engineering, and Mathematics) components.</w:t>
      </w:r>
    </w:p>
    <w:p>
      <w:pPr>
        <w:numPr>
          <w:ilvl w:val="0"/>
          <w:numId w:val="1001"/>
        </w:numPr>
        <w:pStyle w:val="Compact"/>
      </w:pPr>
      <w:r>
        <w:rPr>
          <w:bCs/>
          <w:b/>
        </w:rPr>
        <w:t xml:space="preserve">Pedagogical Training Gaps:</w:t>
      </w:r>
      <w:r>
        <w:br/>
      </w:r>
      <w:r>
        <w:t xml:space="preserve">A large portion of the current workforce was trained using traditional lecture-based methods. There is an urgent need for professional development programs that introduce student-centered learning approaches.</w:t>
      </w:r>
    </w:p>
    <w:p>
      <w:pPr>
        <w:numPr>
          <w:ilvl w:val="0"/>
          <w:numId w:val="1001"/>
        </w:numPr>
        <w:pStyle w:val="Compact"/>
      </w:pPr>
      <w:r>
        <w:rPr>
          <w:bCs/>
          <w:b/>
        </w:rPr>
        <w:t xml:space="preserve">Resource Allocation:</w:t>
      </w:r>
      <w:r>
        <w:br/>
      </w:r>
      <w:r>
        <w:t xml:space="preserve">Distribution of qualified</w:t>
      </w:r>
      <w:r>
        <w:t xml:space="preserve"> </w:t>
      </w:r>
      <w:r>
        <w:rPr>
          <w:bCs/>
          <w:b/>
        </w:rPr>
        <w:t xml:space="preserve">Teacher Secondary</w:t>
      </w:r>
      <w:r>
        <w:t xml:space="preserve"> </w:t>
      </w:r>
      <w:r>
        <w:t xml:space="preserve">staff is uneven. High-demand areas in central Alexandria often suffer from overcrowding, while newer developments in the northern and eastern districts face shortages of experienced educators.</w:t>
      </w:r>
    </w:p>
    <w:p>
      <w:pPr>
        <w:numPr>
          <w:ilvl w:val="0"/>
          <w:numId w:val="1001"/>
        </w:numPr>
        <w:pStyle w:val="Compact"/>
      </w:pPr>
      <w:r>
        <w:rPr>
          <w:bCs/>
          <w:b/>
        </w:rPr>
        <w:t xml:space="preserve">Mental Health and Burnout:</w:t>
      </w:r>
      <w:r>
        <w:br/>
      </w:r>
      <w:r>
        <w:t xml:space="preserve">The pressure to meet national examination standards has led to high levels of stress among educators. Without adequate support systems, teacher retention remains a concern.</w:t>
      </w:r>
    </w:p>
    <w:bookmarkEnd w:id="22"/>
    <w:bookmarkStart w:id="26" w:name="X3103a6a399b7a34d81726c500de7a9799ffeb54"/>
    <w:p>
      <w:pPr>
        <w:pStyle w:val="Heading2"/>
      </w:pPr>
      <w:r>
        <w:t xml:space="preserve">4. Strategic Objectives for Teacher Development</w:t>
      </w:r>
    </w:p>
    <w:p>
      <w:pPr>
        <w:pStyle w:val="FirstParagraph"/>
      </w:pPr>
      <w:r>
        <w:t xml:space="preserve">To address these challenges, the project outlines four strategic pillars designed specifically for the</w:t>
      </w:r>
      <w:r>
        <w:t xml:space="preserve"> </w:t>
      </w:r>
      <w:r>
        <w:rPr>
          <w:bCs/>
          <w:b/>
        </w:rPr>
        <w:t xml:space="preserve">Egypt Alexandria</w:t>
      </w:r>
      <w:r>
        <w:t xml:space="preserve"> </w:t>
      </w:r>
      <w:r>
        <w:t xml:space="preserve">context:</w:t>
      </w:r>
    </w:p>
    <w:bookmarkStart w:id="23" w:name="Xa1bc1992785c912fff9490c26a51502feef6ec8"/>
    <w:p>
      <w:pPr>
        <w:pStyle w:val="Heading3"/>
      </w:pPr>
      <w:r>
        <w:t xml:space="preserve">Pillar 1: Modernization of Training Curricula</w:t>
      </w:r>
    </w:p>
    <w:p>
      <w:pPr>
        <w:pStyle w:val="FirstParagraph"/>
      </w:pPr>
      <w:r>
        <w:t xml:space="preserve">The existing training programs for</w:t>
      </w:r>
    </w:p>
    <w:p>
      <w:pPr>
        <w:pStyle w:val="BodyText"/>
      </w:pPr>
      <w:r>
        <w:t xml:space="preserve">Teacher SecondaryInstructors must be updated to include modules on digital pedagogy, inclusive education, and psychological support strategies. Partnerships with local universities in</w:t>
      </w:r>
      <w:r>
        <w:t xml:space="preserve"> </w:t>
      </w:r>
      <w:r>
        <w:rPr>
          <w:bCs/>
          <w:b/>
        </w:rPr>
        <w:t xml:space="preserve">Egypt Alexandria</w:t>
      </w:r>
      <w:r>
        <w:t xml:space="preserve">, such as the University of Alexandria and Arab Academy for Science, Technology and Maritime Transport (AASTMT), will be leveraged to create accredited certification courses.</w:t>
      </w:r>
    </w:p>
    <w:bookmarkEnd w:id="23"/>
    <w:bookmarkStart w:id="24" w:name="pillar-2-technology-integration"/>
    <w:p>
      <w:pPr>
        <w:pStyle w:val="Heading3"/>
      </w:pPr>
      <w:r>
        <w:t xml:space="preserve">Pillar 2: Technology Integration</w:t>
      </w:r>
    </w:p>
    <w:p>
      <w:pPr>
        <w:pStyle w:val="FirstParagraph"/>
      </w:pPr>
      <w:r>
        <w:t xml:space="preserve">We propose the establishment of "Smart Teacher Labs" across five major districts in</w:t>
      </w:r>
      <w:r>
        <w:t xml:space="preserve"> </w:t>
      </w:r>
      <w:r>
        <w:rPr>
          <w:bCs/>
          <w:b/>
        </w:rPr>
        <w:t xml:space="preserve">Egypt Alexandria</w:t>
      </w:r>
      <w:r>
        <w:t xml:space="preserve">. These labs will provide hands-on training for teachers on using Learning Management Systems (LMS), interactive whiteboards, and educational software. This initiative aims to bridge the digital divide and empower</w:t>
      </w:r>
    </w:p>
    <w:p>
      <w:pPr>
        <w:pStyle w:val="BodyText"/>
      </w:pPr>
      <w:r>
        <w:t xml:space="preserve">Teacher SecondaryProfessionals to create engaging, multimedia-rich lesson plans.</w:t>
      </w:r>
    </w:p>
    <w:bookmarkEnd w:id="24"/>
    <w:bookmarkStart w:id="25" w:name="X619064f2807a7357e44ae9c9c5350d09a805dd6"/>
    <w:p>
      <w:pPr>
        <w:pStyle w:val="Heading3"/>
      </w:pPr>
      <w:r>
        <w:t xml:space="preserve">Pillar 3: Mentorship and Peer Learning Networks</w:t>
      </w:r>
    </w:p>
    <w:p>
      <w:pPr>
        <w:pStyle w:val="FirstParagraph"/>
      </w:pPr>
      <w:r>
        <w:t xml:space="preserve">A robust mentorship program will be implemented where experienced educators guide newly recruited teachers. This network will facilitate the sharing of best practices across</w:t>
      </w:r>
      <w:r>
        <w:t xml:space="preserve"> </w:t>
      </w:r>
      <w:r>
        <w:rPr>
          <w:bCs/>
          <w:b/>
        </w:rPr>
        <w:t xml:space="preserve">Egypt Alexandria</w:t>
      </w:r>
      <w:r>
        <w:t xml:space="preserve">. By fostering a community of practice, we aim to reduce professional isolation and improve overall instructional quality.</w:t>
      </w:r>
    </w:p>
    <w:p>
      <w:pPr>
        <w:pStyle w:val="BodyText"/>
      </w:pPr>
      <w:r>
        <w:t xml:space="preserve">Pillar 4: Incentive Structures for Rural and Peripheral AreasTo ensure equitable distribution, financial incentives and housing support will be offered to</w:t>
      </w:r>
    </w:p>
    <w:p>
      <w:pPr>
        <w:pStyle w:val="BodyText"/>
      </w:pPr>
      <w:r>
        <w:t xml:space="preserve">Teacher SecondaryCandidates willing to serve in underserved communities within the governorate. This is crucial for balancing the educational landscape of</w:t>
      </w:r>
      <w:r>
        <w:t xml:space="preserve"> </w:t>
      </w:r>
      <w:r>
        <w:rPr>
          <w:bCs/>
          <w:b/>
        </w:rPr>
        <w:t xml:space="preserve">Egypt Alexandria</w:t>
      </w:r>
      <w:r>
        <w:t xml:space="preserve">.</w:t>
      </w:r>
    </w:p>
    <w:bookmarkEnd w:id="25"/>
    <w:bookmarkEnd w:id="26"/>
    <w:bookmarkStart w:id="27" w:name="implementation-roadmap"/>
    <w:p>
      <w:pPr>
        <w:pStyle w:val="Heading2"/>
      </w:pPr>
      <w:r>
        <w:t xml:space="preserve">5. Implementation Roadmap</w:t>
      </w:r>
    </w:p>
    <w:p>
      <w:pPr>
        <w:pStyle w:val="FirstParagraph"/>
      </w:pPr>
      <w:r>
        <w:t xml:space="preserve">The implementation phase will span three years, divided into distinct stages:</w:t>
      </w:r>
    </w:p>
    <w:p>
      <w:pPr>
        <w:numPr>
          <w:ilvl w:val="0"/>
          <w:numId w:val="1002"/>
        </w:numPr>
        <w:pStyle w:val="Compact"/>
      </w:pPr>
      <w:r>
        <w:rPr>
          <w:bCs/>
          <w:b/>
        </w:rPr>
        <w:t xml:space="preserve">Phase 1 (Months 1-6): Assessment and Planning.</w:t>
      </w:r>
      <w:r>
        <w:br/>
      </w:r>
      <w:r>
        <w:t xml:space="preserve">A comprehensive audit of current teacher qualifications in</w:t>
      </w:r>
      <w:r>
        <w:t xml:space="preserve"> </w:t>
      </w:r>
      <w:r>
        <w:rPr>
          <w:bCs/>
          <w:b/>
        </w:rPr>
        <w:t xml:space="preserve">Egypt Alexandria</w:t>
      </w:r>
      <w:r>
        <w:t xml:space="preserve">. Development of tailored training modules for</w:t>
      </w:r>
    </w:p>
    <w:p>
      <w:pPr>
        <w:numPr>
          <w:ilvl w:val="0"/>
          <w:numId w:val="1000"/>
        </w:numPr>
        <w:pStyle w:val="Compact"/>
      </w:pPr>
      <w:r>
        <w:t xml:space="preserve">Teacher SecondaryPedagogy. Stakeholder consultations with the Ministry of Education.</w:t>
      </w:r>
    </w:p>
    <w:p>
      <w:pPr>
        <w:numPr>
          <w:ilvl w:val="0"/>
          <w:numId w:val="1002"/>
        </w:numPr>
        <w:pStyle w:val="Compact"/>
      </w:pPr>
      <w:r>
        <w:rPr>
          <w:bCs/>
          <w:b/>
        </w:rPr>
        <w:t xml:space="preserve">Phase 2 (Months 7-18): Pilot Training and Technology Rollout.</w:t>
      </w:r>
      <w:r>
        <w:br/>
      </w:r>
      <w:r>
        <w:t xml:space="preserve">Launching pilot programs in five selected schools. Distribution of hardware and software tools. Initial workshops on digital literacy for teachers.</w:t>
      </w:r>
    </w:p>
    <w:p>
      <w:pPr>
        <w:numPr>
          <w:ilvl w:val="0"/>
          <w:numId w:val="1002"/>
        </w:numPr>
        <w:pStyle w:val="Compact"/>
      </w:pPr>
      <w:r>
        <w:rPr>
          <w:bCs/>
          <w:b/>
        </w:rPr>
        <w:t xml:space="preserve">Phase 3 (Months 19-36): Full Scale Deployment and Evaluation.</w:t>
      </w:r>
      <w:r>
        <w:br/>
      </w:r>
      <w:r>
        <w:t xml:space="preserve">Expansion of training to all secondary schools in the governorate. Continuous monitoring and evaluation mechanisms will be established to measure the impact of these initiatives on student performance in</w:t>
      </w:r>
      <w:r>
        <w:t xml:space="preserve"> </w:t>
      </w:r>
      <w:r>
        <w:rPr>
          <w:bCs/>
          <w:b/>
        </w:rPr>
        <w:t xml:space="preserve">Egypt Alexandria</w:t>
      </w:r>
      <w:r>
        <w:t xml:space="preserve">.</w:t>
      </w:r>
    </w:p>
    <w:bookmarkEnd w:id="27"/>
    <w:bookmarkStart w:id="28" w:name="expected-outcomes-and-impact-assessment"/>
    <w:p>
      <w:pPr>
        <w:pStyle w:val="Heading2"/>
      </w:pPr>
      <w:r>
        <w:t xml:space="preserve">6. Expected Outcomes and Impact Assessment</w:t>
      </w:r>
    </w:p>
    <w:p>
      <w:pPr>
        <w:pStyle w:val="FirstParagraph"/>
      </w:pPr>
      <w:r>
        <w:t xml:space="preserve">The successful execution of this project is expected to yield significant benefits for the educational ecosystem of</w:t>
      </w:r>
    </w:p>
    <w:p>
      <w:pPr>
        <w:pStyle w:val="BodyText"/>
      </w:pPr>
      <w:r>
        <w:t xml:space="preserve">Egypt Alexandria. Primary outcomes include:</w:t>
      </w:r>
    </w:p>
    <w:p>
      <w:pPr>
        <w:pStyle w:val="BodyText"/>
      </w:pPr>
      <w:r>
        <w:t xml:space="preserve">An increase in the proficiency level of 80% of secondary teachers in utilizing digital teaching tools.</w:t>
      </w:r>
    </w:p>
    <w:p>
      <w:pPr>
        <w:pStyle w:val="BodyText"/>
      </w:pPr>
      <w:r>
        <w:t xml:space="preserve">A measurable improvement in student engagement and performance scores in national examinations.</w:t>
      </w:r>
    </w:p>
    <w:p>
      <w:pPr>
        <w:pStyle w:val="BodyText"/>
      </w:pPr>
      <w:r>
        <w:t xml:space="preserve">Enhanced teacher satisfaction rates due to improved working conditions and professional growth opportunities.</w:t>
      </w:r>
    </w:p>
    <w:p>
      <w:pPr>
        <w:pStyle w:val="BodyText"/>
      </w:pPr>
      <w:r>
        <w:t xml:space="preserve">The creation of a sustainable model for continuous professional development that can be replicated across other governorates in Egypt.</w:t>
      </w:r>
    </w:p>
    <w:p>
      <w:pPr>
        <w:pStyle w:val="BodyText"/>
      </w:pPr>
      <w:r>
        <w:t xml:space="preserve">Evaluating the success of this initiative will involve quarterly reviews by an independent committee. Data will be collected through classroom observations, teacher surveys, and student assessment results. The ultimate goal is to establish</w:t>
      </w:r>
      <w:r>
        <w:t xml:space="preserve"> </w:t>
      </w:r>
      <w:r>
        <w:rPr>
          <w:bCs/>
          <w:b/>
        </w:rPr>
        <w:t xml:space="preserve">Egypt Alexandria</w:t>
      </w:r>
      <w:r>
        <w:t xml:space="preserve"> </w:t>
      </w:r>
      <w:r>
        <w:t xml:space="preserve">as a regional leader in educational excellence.</w:t>
      </w:r>
    </w:p>
    <w:bookmarkEnd w:id="28"/>
    <w:bookmarkStart w:id="29" w:name="budgetary-considerations"/>
    <w:p>
      <w:pPr>
        <w:pStyle w:val="Heading2"/>
      </w:pPr>
      <w:r>
        <w:t xml:space="preserve">7. Budgetary Considerations</w:t>
      </w:r>
    </w:p>
    <w:p>
      <w:pPr>
        <w:pStyle w:val="FirstParagraph"/>
      </w:pPr>
      <w:r>
        <w:t xml:space="preserve">Funding for this project will be sourced from a combination of government allocations, international development grants focused on education in the MENA region, and public-private partnerships with local tech companies operating in</w:t>
      </w:r>
    </w:p>
    <w:p>
      <w:pPr>
        <w:pStyle w:val="BodyText"/>
      </w:pPr>
      <w:r>
        <w:t xml:space="preserve">Egypt Alexandria. Detailed budget breakdowns indicate that approximately 40% of funds will be allocated to training and professional development, 35% to technology infrastructure, and 25% to administrative oversight and evaluation. Investing in</w:t>
      </w:r>
    </w:p>
    <w:p>
      <w:pPr>
        <w:pStyle w:val="BodyText"/>
      </w:pPr>
      <w:r>
        <w:t xml:space="preserve">Teacher SecondaryQuality is an investment in the future workforce of Egypt.</w:t>
      </w:r>
    </w:p>
    <w:bookmarkEnd w:id="29"/>
    <w:bookmarkStart w:id="30" w:name="conclusion"/>
    <w:p>
      <w:pPr>
        <w:pStyle w:val="Heading2"/>
      </w:pPr>
      <w:r>
        <w:t xml:space="preserve">8. Conclusion</w:t>
      </w:r>
    </w:p>
    <w:p>
      <w:pPr>
        <w:pStyle w:val="FirstParagraph"/>
      </w:pPr>
      <w:r>
        <w:t xml:space="preserve">The transformation of secondary education in</w:t>
      </w:r>
    </w:p>
    <w:p>
      <w:pPr>
        <w:pStyle w:val="BodyText"/>
      </w:pPr>
      <w:r>
        <w:t xml:space="preserve">Egypt AlexandriaProject ReportTeacher SecondaryEducators, we not only improve academic outcomes but also empower the youth of Alexandria to become global citizens capable of driving national progress.</w:t>
      </w:r>
    </w:p>
    <w:p>
      <w:pPr>
        <w:pStyle w:val="BodyText"/>
      </w:pPr>
      <w:r>
        <w:t xml:space="preserve">We strongly recommend the immediate approval and funding of this initiative. The stakeholders in</w:t>
      </w:r>
      <w:r>
        <w:t xml:space="preserve"> </w:t>
      </w:r>
      <w:r>
        <w:rPr>
          <w:bCs/>
          <w:b/>
        </w:rPr>
        <w:t xml:space="preserve">Egypt Alexandria</w:t>
      </w:r>
    </w:p>
    <w:p>
      <w:r>
        <w:pict>
          <v:rect style="width:0;height:1.5pt" o:hralign="center" o:hrstd="t" o:hr="t"/>
        </w:pict>
      </w:r>
    </w:p>
    <w:p>
      <w:pPr>
        <w:pStyle w:val="FirstParagraph"/>
      </w:pPr>
      <w:r>
        <w:rPr>
          <w:iCs/>
          <w:i/>
        </w:rPr>
        <w:t xml:space="preserve">This document is confidential and intended for official use by educational administrators and policymakers in</w:t>
      </w:r>
      <w:r>
        <w:rPr>
          <w:iCs/>
          <w:i/>
        </w:rPr>
        <w:t xml:space="preserve"> </w:t>
      </w:r>
      <w:r>
        <w:rPr>
          <w:bCs/>
          <w:b/>
          <w:iCs/>
          <w:i/>
        </w:rPr>
        <w:t xml:space="preserve">Egypt Alexandria</w:t>
      </w:r>
      <w:r>
        <w:rPr>
          <w:iCs/>
          <w:i/>
        </w:rP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Teacher Secondary in Egypt Alexandria</dc:title>
  <dc:creator/>
  <dc:language>en</dc:language>
  <cp:keywords/>
  <dcterms:created xsi:type="dcterms:W3CDTF">2026-07-29T14:03:11Z</dcterms:created>
  <dcterms:modified xsi:type="dcterms:W3CDTF">2026-07-29T14:03:11Z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