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Marseille</w:t>
      </w:r>
    </w:p>
    <w:bookmarkStart w:id="29" w:name="Xbceb622b5e2ab3633dd6aff59d008d08d5cfe53"/>
    <w:p>
      <w:pPr>
        <w:pStyle w:val="Heading1"/>
      </w:pPr>
      <w:r>
        <w:t xml:space="preserve">Project Report: Integration of Teacher Secondary Programs in France Marseille</w:t>
      </w:r>
    </w:p>
    <w:p>
      <w:pPr>
        <w:pStyle w:val="FirstParagraph"/>
      </w:pPr>
      <w:r>
        <w:t xml:space="preserve">Date: October 26, 2023</w:t>
      </w:r>
      <w:r>
        <w:br/>
      </w:r>
      <w:r>
        <w:t xml:space="preserve">Prepared For: The Ministry of Education and Local Municipal Authorities</w:t>
      </w:r>
      <w:r>
        <w:br/>
      </w:r>
      <w:r>
        <w:t xml:space="preserve">Subject:</w:t>
      </w:r>
    </w:p>
    <w:p>
      <w:pPr>
        <w:pStyle w:val="BodyText"/>
      </w:pPr>
      <w:r>
        <w:t xml:space="preserve">This comprehensive document outlines the strategic framework, operational requirements, and cultural considerations necessary for the successful implementation of secondary education initiatives within the vibrant coastal city of Marseille. As we embark on this crucial endeavor to enhance educational standards in France Marseille, it is imperative that every phase of planning centers around the core competency and professional development of our Teacher Secondary cohort. This report serves not only as a logistical guide but also as a philosophical manifesto for how secondary educators will navigate the complex socio-educational landscape unique to this historic Mediterranean port.</w:t>
      </w:r>
    </w:p>
    <w:bookmarkStart w:id="20" w:name="executive-summary"/>
    <w:p>
      <w:pPr>
        <w:pStyle w:val="Heading2"/>
      </w:pPr>
      <w:r>
        <w:t xml:space="preserve">1. Executive Summary</w:t>
      </w:r>
    </w:p>
    <w:p>
      <w:pPr>
        <w:pStyle w:val="FirstParagraph"/>
      </w:pPr>
      <w:r>
        <w:t xml:space="preserve">The objective of this project is to establish a robust, sustainable, and high-quality secondary education model specifically tailored for the diverse demographic fabric of Marseille. The success of any educational institution hinges largely on the quality of its teaching staff; therefore, this</w:t>
      </w:r>
      <w:r>
        <w:t xml:space="preserve"> </w:t>
      </w:r>
      <w:r>
        <w:rPr>
          <w:bCs/>
          <w:b/>
        </w:rPr>
        <w:t xml:space="preserve">Teacher Secondary</w:t>
      </w:r>
      <w:r>
        <w:t xml:space="preserve"> </w:t>
      </w:r>
      <w:r>
        <w:t xml:space="preserve">initiative focuses on recruiting, training, and integrating educators who are not only academically proficient but also culturally attuned to the specific needs of students in France Marseille. By aligning pedagogical strategies with local community values and national French educational standards, we aim to create an inclusive environment that fosters academic excellence and social cohesion.</w:t>
      </w:r>
    </w:p>
    <w:bookmarkEnd w:id="20"/>
    <w:bookmarkStart w:id="21" w:name="X61647cbcd962554ecf275261aa748d19fd94384"/>
    <w:p>
      <w:pPr>
        <w:pStyle w:val="Heading2"/>
      </w:pPr>
      <w:r>
        <w:t xml:space="preserve">2. Contextual Analysis: The Unique Landscape of France Marseille</w:t>
      </w:r>
    </w:p>
    <w:p>
      <w:pPr>
        <w:pStyle w:val="FirstParagraph"/>
      </w:pPr>
      <w:r>
        <w:t xml:space="preserve">Marseille, being the oldest city in France and the country’s largest port on the Mediterranean Sea, presents a unique educational ecosystem. It is a city defined by diversity, resilience, and cultural richness. However, it also faces significant socioeconomic challenges that directly impact student outcomes. The</w:t>
      </w:r>
      <w:r>
        <w:t xml:space="preserve"> </w:t>
      </w:r>
      <w:r>
        <w:rPr>
          <w:bCs/>
          <w:b/>
        </w:rPr>
        <w:t xml:space="preserve">France Marseille</w:t>
      </w:r>
      <w:r>
        <w:t xml:space="preserve"> </w:t>
      </w:r>
      <w:r>
        <w:t xml:space="preserve">region has historically struggled with disparities in educational resources between different arrondissements (districts). Urban renewal projects have improved infrastructure in some areas, but the digital divide and language barriers remain persistent hurdles.</w:t>
      </w:r>
    </w:p>
    <w:p>
      <w:pPr>
        <w:pStyle w:val="BodyText"/>
      </w:pPr>
      <w:r>
        <w:t xml:space="preserve">In this context, a generic approach to secondary education is insufficient. The</w:t>
      </w:r>
      <w:r>
        <w:t xml:space="preserve"> </w:t>
      </w:r>
      <w:r>
        <w:rPr>
          <w:bCs/>
          <w:b/>
        </w:rPr>
        <w:t xml:space="preserve">Teacher Secondary</w:t>
      </w:r>
      <w:r>
        <w:t xml:space="preserve"> </w:t>
      </w:r>
      <w:r>
        <w:t xml:space="preserve">professionals deployed in this region must be equipped with specialized skills to handle multilingual classrooms, varying levels of prior academic preparation, and the psychological impacts of socioeconomic instability. The report emphasizes that understanding the local geography—ranging from the historic Vieux-Port to modern districts like Le Panier or La Belle de Mai—is essential for contextualizing lessons and connecting curriculum materials to students' lived experiences.</w:t>
      </w:r>
    </w:p>
    <w:bookmarkEnd w:id="21"/>
    <w:bookmarkStart w:id="24" w:name="X3fd743a74f16ae049b69b97f965b3e7aa8b8265"/>
    <w:p>
      <w:pPr>
        <w:pStyle w:val="Heading2"/>
      </w:pPr>
      <w:r>
        <w:t xml:space="preserve">3. Strategic Pillars of the Teacher Secondary Initiative</w:t>
      </w:r>
    </w:p>
    <w:bookmarkStart w:id="22" w:name="recruitment-and-qualification-standards"/>
    <w:p>
      <w:pPr>
        <w:pStyle w:val="Heading3"/>
      </w:pPr>
      <w:r>
        <w:t xml:space="preserve">3.1 Recruitment and Qualification Standards</w:t>
      </w:r>
    </w:p>
    <w:p>
      <w:pPr>
        <w:pStyle w:val="FirstParagraph"/>
      </w:pPr>
      <w:r>
        <w:t xml:space="preserve">To ensure high standards, the recruitment process for</w:t>
      </w:r>
      <w:r>
        <w:t xml:space="preserve"> </w:t>
      </w:r>
      <w:r>
        <w:rPr>
          <w:bCs/>
          <w:b/>
        </w:rPr>
        <w:t xml:space="preserve">Teacher Secondary</w:t>
      </w:r>
      <w:r>
        <w:t xml:space="preserve"> </w:t>
      </w:r>
      <w:r>
        <w:t xml:space="preserve">candidates will strictly adhere to the national requirements set by the French Ministry of National Education while adding local competency layers. Candidates must demonstrate not only subject mastery but also a commitment to intercultural communication. Preference will be given to applicants who possess experience or fluency in languages commonly spoken within the diverse immigrant communities of France Marseille, such as Arabic, Berber languages, and various African dialects, alongside standard French.</w:t>
      </w:r>
    </w:p>
    <w:bookmarkEnd w:id="22"/>
    <w:bookmarkStart w:id="23" w:name="X4e23d3d68270304273dab99fd6987a559d91049"/>
    <w:p>
      <w:pPr>
        <w:pStyle w:val="Heading3"/>
      </w:pPr>
      <w:r>
        <w:t xml:space="preserve">3.2 Professional Development and Cultural Integration</w:t>
      </w:r>
    </w:p>
    <w:p>
      <w:pPr>
        <w:pStyle w:val="FirstParagraph"/>
      </w:pPr>
      <w:r>
        <w:t xml:space="preserve">The core of this project is the professional development program designed specifically for secondary teachers. This phase involves intensive workshops focused on:</w:t>
      </w:r>
    </w:p>
    <w:p>
      <w:pPr>
        <w:numPr>
          <w:ilvl w:val="0"/>
          <w:numId w:val="1001"/>
        </w:numPr>
        <w:pStyle w:val="Compact"/>
      </w:pPr>
      <w:r>
        <w:rPr>
          <w:bCs/>
          <w:b/>
        </w:rPr>
        <w:t xml:space="preserve">Cultural Competency:</w:t>
      </w:r>
      <w:r>
        <w:t xml:space="preserve"> </w:t>
      </w:r>
      <w:r>
        <w:t xml:space="preserve">Understanding the historical and social dynamics of Marseille to avoid unconscious bias in classroom management.</w:t>
      </w:r>
    </w:p>
    <w:p>
      <w:pPr>
        <w:numPr>
          <w:ilvl w:val="0"/>
          <w:numId w:val="1001"/>
        </w:numPr>
        <w:pStyle w:val="Compact"/>
      </w:pPr>
      <w:r>
        <w:rPr>
          <w:bCs/>
          <w:b/>
        </w:rPr>
        <w:t xml:space="preserve">Inclusive Pedagogy:</w:t>
      </w:r>
      <w:r>
        <w:t xml:space="preserve"> </w:t>
      </w:r>
      <w:r>
        <w:t xml:space="preserve">Techniques for differentiated instruction that support students with varying levels of proficiency in French as a second language (FLE).</w:t>
      </w:r>
    </w:p>
    <w:p>
      <w:pPr>
        <w:numPr>
          <w:ilvl w:val="0"/>
          <w:numId w:val="1001"/>
        </w:numPr>
        <w:pStyle w:val="Compact"/>
      </w:pPr>
      <w:r>
        <w:rPr>
          <w:iCs/>
          <w:i/>
        </w:rPr>
        <w:t xml:space="preserve">Mental Health Support:</w:t>
      </w:r>
      <w:r>
        <w:t xml:space="preserve"> </w:t>
      </w:r>
      <w:r>
        <w:t xml:space="preserve">Recognizing signs of trauma or stress related to family migration status or economic hardship and knowing how to refer students to local social services.</w:t>
      </w:r>
    </w:p>
    <w:bookmarkEnd w:id="23"/>
    <w:bookmarkEnd w:id="24"/>
    <w:bookmarkStart w:id="25" w:name="X163d21f462a7029d077006b2d5aacf7e4784ccd"/>
    <w:p>
      <w:pPr>
        <w:pStyle w:val="Heading2"/>
      </w:pPr>
      <w:r>
        <w:t xml:space="preserve">4. Operational Implementation in France Marseille</w:t>
      </w:r>
    </w:p>
    <w:p>
      <w:pPr>
        <w:pStyle w:val="FirstParagraph"/>
      </w:pPr>
      <w:r>
        <w:t xml:space="preserve">The rollout of the</w:t>
      </w:r>
      <w:r>
        <w:t xml:space="preserve"> </w:t>
      </w:r>
      <w:r>
        <w:rPr>
          <w:bCs/>
          <w:b/>
        </w:rPr>
        <w:t xml:space="preserve">TTeacher Secondary</w:t>
      </w:r>
      <w:r>
        <w:t xml:space="preserve">, pilot programs will commence in three distinct districts, selected for their varying demographic profiles. This ensures that our methods are stress-tested across different urban environments.</w:t>
      </w:r>
    </w:p>
    <w:p>
      <w:pPr>
        <w:pStyle w:val="BodyText"/>
      </w:pPr>
      <w:r>
        <w:rPr>
          <w:bCs/>
          <w:b/>
        </w:rPr>
        <w:t xml:space="preserve">District A (Urban Center): Focus on Heritage and Language Arts</w:t>
      </w:r>
      <w:r>
        <w:br/>
      </w:r>
      <w:r>
        <w:t xml:space="preserve">In the historic center, the</w:t>
      </w:r>
      <w:r>
        <w:t xml:space="preserve"> </w:t>
      </w:r>
      <w:r>
        <w:rPr>
          <w:bCs/>
          <w:b/>
        </w:rPr>
        <w:t xml:space="preserve">Teacher Secondary</w:t>
      </w:r>
      <w:r>
        <w:t xml:space="preserve">, curriculum will heavily integrate local history, maritime culture, and architecture. This approach aims to build pride among students while meeting national literacy standards. Teachers will collaborate with local museums and historical societies to bring textbook concepts to life.</w:t>
      </w:r>
    </w:p>
    <w:p>
      <w:pPr>
        <w:pStyle w:val="BodyText"/>
      </w:pPr>
      <w:r>
        <w:rPr>
          <w:bCs/>
          <w:b/>
        </w:rPr>
        <w:t xml:space="preserve">District B (Residential Suburbs): Focus on STEM and Vocational Skills</w:t>
      </w:r>
      <w:r>
        <w:br/>
      </w:r>
      <w:r>
        <w:t xml:space="preserve">In the sprawling residential areas, the</w:t>
      </w:r>
      <w:r>
        <w:t xml:space="preserve"> </w:t>
      </w:r>
      <w:r>
        <w:rPr>
          <w:bCs/>
          <w:b/>
        </w:rPr>
        <w:t xml:space="preserve">TTeacher Secondary</w:t>
      </w:r>
      <w:r>
        <w:t xml:space="preserve">, emphasis will shift towards Science, Technology, Engineering, and Mathematics (STEM), as well as vocational pathways. Recognizing that many families in these areas rely on industrial or service-sector jobs, teachers will work closely with local businesses to provide internships and real-world applications for classroom learning.</w:t>
      </w:r>
    </w:p>
    <w:p>
      <w:pPr>
        <w:pStyle w:val="BodyText"/>
      </w:pPr>
      <w:r>
        <w:rPr>
          <w:bCs/>
          <w:b/>
        </w:rPr>
        <w:t xml:space="preserve">District C (Diverse Commuter Zones): Focus on Social Sciences and Civic Engagement</w:t>
      </w:r>
      <w:r>
        <w:br/>
      </w:r>
      <w:r>
        <w:t xml:space="preserve">Here, the</w:t>
      </w:r>
    </w:p>
    <w:p>
      <w:pPr>
        <w:pStyle w:val="BodyText"/>
      </w:pPr>
      <w:r>
        <w:t xml:space="preserve">TTeacher Secondary, curriculum will leverage the diversity of the student body to teach civics, ethics, and global citizenship. Discussions around migration, identity, and European history will be framed through open dialogue facilitated by trained educators.</w:t>
      </w:r>
    </w:p>
    <w:bookmarkEnd w:id="25"/>
    <w:bookmarkStart w:id="26" w:name="challenges-and-mitigation-strategies"/>
    <w:p>
      <w:pPr>
        <w:pStyle w:val="Heading2"/>
      </w:pPr>
      <w:r>
        <w:t xml:space="preserve">5. Challenges and Mitigation Strategies</w:t>
      </w:r>
    </w:p>
    <w:p>
      <w:pPr>
        <w:pStyle w:val="FirstParagraph"/>
      </w:pPr>
      <w:r>
        <w:rPr>
          <w:bCs/>
          <w:b/>
        </w:rPr>
        <w:t xml:space="preserve">Bureaucratic Hurdles:</w:t>
      </w:r>
      <w:r>
        <w:t xml:space="preserve">Navigating the administrative structures of French public education can be complex. To mitigate this, a dedicated liaison office has been established in Marseille to assist</w:t>
      </w:r>
    </w:p>
    <w:p>
      <w:pPr>
        <w:pStyle w:val="BodyText"/>
      </w:pPr>
      <w:r>
        <w:t xml:space="preserve">TTeacher Secondary, staff with paperwork, housing assistance (crucial for attracting talent to France Marseille), and union negotiations.</w:t>
      </w:r>
    </w:p>
    <w:p>
      <w:pPr>
        <w:pStyle w:val="BodyText"/>
      </w:pPr>
      <w:r>
        <w:rPr>
          <w:bCs/>
          <w:b/>
        </w:rPr>
        <w:t xml:space="preserve">Resource Allocation:</w:t>
      </w:r>
      <w:r>
        <w:t xml:space="preserve">Maintaining consistent access to technology and updated textbooks is vital. The project budget includes a specific contingency fund for digital infrastructure upgrades, ensuring that</w:t>
      </w:r>
    </w:p>
    <w:p>
      <w:pPr>
        <w:pStyle w:val="BodyText"/>
      </w:pPr>
      <w:r>
        <w:t xml:space="preserve">TTeacher Secondary, can deliver modern, interactive lessons regardless of the school's location within France Marseille.</w:t>
      </w:r>
    </w:p>
    <w:p>
      <w:pPr>
        <w:pStyle w:val="BodyText"/>
      </w:pPr>
      <w:r>
        <w:rPr>
          <w:bCs/>
          <w:b/>
        </w:rPr>
        <w:t xml:space="preserve">Burnout Prevention:</w:t>
      </w:r>
      <w:r>
        <w:t xml:space="preserve">Secondary education in challenging environments carries a high risk of teacher burnout. We have implemented mandatory wellness days and peer-mentorship programs where experienced</w:t>
      </w:r>
    </w:p>
    <w:p>
      <w:pPr>
        <w:pStyle w:val="BodyText"/>
      </w:pPr>
      <w:r>
        <w:t xml:space="preserve">TTeacher Secondary, educators mentor newer arrivals, fostering a supportive professional community.</w:t>
      </w:r>
    </w:p>
    <w:bookmarkEnd w:id="26"/>
    <w:bookmarkStart w:id="27" w:name="evaluation-and-metrics-for-success"/>
    <w:p>
      <w:pPr>
        <w:pStyle w:val="Heading2"/>
      </w:pPr>
      <w:r>
        <w:t xml:space="preserve">6. Evaluation and Metrics for Success</w:t>
      </w:r>
    </w:p>
    <w:p>
      <w:pPr>
        <w:pStyle w:val="FirstParagraph"/>
      </w:pPr>
      <w:r>
        <w:t xml:space="preserve">The success of this initiative will be measured through both quantitative and qualitative metrics over a three-year period.</w:t>
      </w:r>
    </w:p>
    <w:p>
      <w:pPr>
        <w:numPr>
          <w:ilvl w:val="0"/>
          <w:numId w:val="1002"/>
        </w:numPr>
        <w:pStyle w:val="Compact"/>
      </w:pPr>
      <w:r>
        <w:rPr>
          <w:bCs/>
          <w:b/>
        </w:rPr>
        <w:t xml:space="preserve">Average Grades:</w:t>
      </w:r>
      <w:r>
        <w:t xml:space="preserve">, Improvement in standardized test scores across the participating districts.</w:t>
      </w:r>
    </w:p>
    <w:p>
      <w:pPr>
        <w:numPr>
          <w:ilvl w:val="0"/>
          <w:numId w:val="1002"/>
        </w:numPr>
        <w:pStyle w:val="Compact"/>
      </w:pPr>
      <w:r>
        <w:rPr>
          <w:bCs/>
          <w:b/>
        </w:rPr>
        <w:t xml:space="preserve">Graduation Rates:</w:t>
      </w:r>
      <w:r>
        <w:t xml:space="preserve">, An increase in the percentage of secondary students completing their baccalauréat or equivalent vocational certifications.</w:t>
      </w:r>
    </w:p>
    <w:p>
      <w:pPr>
        <w:numPr>
          <w:ilvl w:val="0"/>
          <w:numId w:val="1002"/>
        </w:numPr>
        <w:pStyle w:val="Compact"/>
      </w:pPr>
      <w:r>
        <w:rPr>
          <w:iCs/>
          <w:i/>
        </w:rPr>
        <w:t xml:space="preserve">School Attendance</w:t>
      </w:r>
      <w:r>
        <w:t xml:space="preserve">: A reduction in absenteeism rates, indicating higher student engagement facilitated by effective</w:t>
      </w:r>
    </w:p>
    <w:p>
      <w:pPr>
        <w:numPr>
          <w:ilvl w:val="0"/>
          <w:numId w:val="1000"/>
        </w:numPr>
        <w:pStyle w:val="Compact"/>
      </w:pPr>
      <w:r>
        <w:t xml:space="preserve">TTeacher Secondary, pedagogy.</w:t>
      </w:r>
    </w:p>
    <w:p>
      <w:pPr>
        <w:numPr>
          <w:ilvl w:val="0"/>
          <w:numId w:val="1002"/>
        </w:numPr>
        <w:pStyle w:val="Compact"/>
      </w:pPr>
      <w:r>
        <w:t xml:space="preserve">Parental Satisfaction:,: Survey results from parents in France Marseille regarding their perception of the school environment and teacher communication.</w:t>
      </w:r>
    </w:p>
    <w:bookmarkEnd w:id="27"/>
    <w:bookmarkStart w:id="28" w:name="conclusion"/>
    <w:p>
      <w:pPr>
        <w:pStyle w:val="Heading2"/>
      </w:pPr>
      <w:r>
        <w:t xml:space="preserve">7. Conclusion</w:t>
      </w:r>
    </w:p>
    <w:p>
      <w:pPr>
        <w:pStyle w:val="FirstParagraph"/>
      </w:pPr>
      <w:r>
        <w:t xml:space="preserve">The integration of a robust</w:t>
      </w:r>
    </w:p>
    <w:p>
      <w:pPr>
        <w:pStyle w:val="BodyText"/>
      </w:pPr>
      <w:r>
        <w:t xml:space="preserve">TTeacher Secondary, framework into the educational landscape of</w:t>
      </w:r>
    </w:p>
    <w:p>
      <w:pPr>
        <w:pStyle w:val="BodyText"/>
      </w:pPr>
      <w:r>
        <w:t xml:space="preserve">,France Marseille is not merely an administrative task but a transformative social investment. By empowering educators with the right tools, cultural understanding, and support systems, we are laying the groundwork for a generation that is academically proficient and socially resilient. The specific challenges posed by this historic city are also its greatest assets; its diversity provides a rich tapestry for learning experiences that cannot be replicated elsewhere.</w:t>
      </w:r>
    </w:p>
    <w:p>
      <w:pPr>
        <w:pStyle w:val="BodyText"/>
      </w:pPr>
      <w:r>
        <w:t xml:space="preserve">We firmly believe that by focusing on the professional growth of</w:t>
      </w:r>
    </w:p>
    <w:p>
      <w:pPr>
        <w:pStyle w:val="BodyText"/>
      </w:pPr>
      <w:r>
        <w:t xml:space="preserve">TTeacher Secondary, staff, we can significantly elevate the quality of education in</w:t>
      </w:r>
    </w:p>
    <w:p>
      <w:pPr>
        <w:pStyle w:val="BodyText"/>
      </w:pPr>
      <w:r>
        <w:t xml:space="preserve">,France Marseille. This project report serves as our commitment to transparency, accountability, and excellence. We invite all stakeholders—parents, local government officials, educators, and community leaders—to join us in this vital endeavor.</w:t>
      </w:r>
    </w:p>
    <w:p>
      <w:pPr>
        <w:pStyle w:val="BodyText"/>
      </w:pPr>
      <w:r>
        <w:t xml:space="preserve">The future of</w:t>
      </w:r>
    </w:p>
    <w:p>
      <w:pPr>
        <w:pStyle w:val="BodyText"/>
      </w:pPr>
      <w:r>
        <w:t xml:space="preserve">TTeacher Secondary, education lies in its ability to adapt to the needs of its students. In Marseille, that need is for inclusivity, rigor, and hope. This document outlines our roadmap to delivering exactly that.</w:t>
      </w:r>
    </w:p>
    <w:p>
      <w:r>
        <w:pict>
          <v:rect style="width:0;height:1.5pt" o:hralign="center" o:hrstd="t" o:hr="t"/>
        </w:pict>
      </w:r>
    </w:p>
    <w:p>
      <w:pPr>
        <w:pStyle w:val="FirstParagraph"/>
      </w:pPr>
      <w:r>
        <w:rPr>
          <w:bCs/>
          <w:b/>
        </w:rPr>
        <w:t xml:space="preserve">End of Project Report</w:t>
      </w:r>
      <w:r>
        <w:br/>
      </w:r>
      <w:r>
        <w:t xml:space="preserve">Authorized by the Department of Educational Development</w:t>
      </w:r>
      <w:r>
        <w:br/>
      </w:r>
      <w:r>
        <w:t xml:space="preserve">Marseille, France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France Marseille</dc:title>
  <dc:creator/>
  <dc:language>en</dc:language>
  <cp:keywords/>
  <dcterms:created xsi:type="dcterms:W3CDTF">2026-07-29T15:32:06Z</dcterms:created>
  <dcterms:modified xsi:type="dcterms:W3CDTF">2026-07-29T15:32:06Z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