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Integration</w:t>
      </w:r>
      <w:r>
        <w:t xml:space="preserve"> </w:t>
      </w:r>
      <w:r>
        <w:t xml:space="preserve">in</w:t>
      </w:r>
      <w:r>
        <w:t xml:space="preserve"> </w:t>
      </w:r>
      <w:r>
        <w:t xml:space="preserve">Germany</w:t>
      </w:r>
      <w:r>
        <w:t xml:space="preserve"> </w:t>
      </w:r>
      <w:r>
        <w:t xml:space="preserve">Munich</w:t>
      </w:r>
    </w:p>
    <w:p>
      <w:pPr>
        <w:pStyle w:val="FirstParagraph"/>
      </w:pPr>
      <w:r>
        <w:t xml:space="preserve">PROJECT REPORT</w:t>
      </w:r>
    </w:p>
    <w:bookmarkStart w:id="29" w:name="X077e52ee2829af7350344871a135078800d0c8a"/>
    <w:p>
      <w:pPr>
        <w:pStyle w:val="Heading1"/>
      </w:pPr>
      <w:r>
        <w:t xml:space="preserve">Cross-Border Educational Integration Framework for Secondary Education in Germany Munich</w:t>
      </w:r>
    </w:p>
    <w:p>
      <w:pPr>
        <w:pStyle w:val="FirstParagraph"/>
      </w:pPr>
      <w:r>
        <w:rPr>
          <w:bCs/>
          <w:b/>
        </w:rPr>
        <w:t xml:space="preserve">Date:</w:t>
      </w:r>
    </w:p>
    <w:p>
      <w:pPr>
        <w:pStyle w:val="BodyText"/>
      </w:pPr>
      <w:r>
        <w:t xml:space="preserve">  October 24, 2023</w:t>
      </w:r>
      <w:r>
        <w:br/>
      </w:r>
    </w:p>
    <w:p>
      <w:pPr>
        <w:pStyle w:val="BodyText"/>
      </w:pPr>
      <w:r>
        <w:t xml:space="preserve">To: Department of Cultural Exchange and Educational Development</w:t>
      </w:r>
      <w:r>
        <w:br/>
      </w:r>
    </w:p>
    <w:p>
      <w:pPr>
        <w:pStyle w:val="BodyText"/>
      </w:pPr>
      <w:r>
        <w:t xml:space="preserve">From: International Project Coordination Unit</w:t>
      </w:r>
    </w:p>
    <w:p>
      <w:pPr>
        <w:pStyle w:val="BodyText"/>
      </w:pPr>
      <w:r>
        <w:t xml:space="preserve">  </w:t>
      </w:r>
    </w:p>
    <w:p>
      <w:pPr>
        <w:pStyle w:val="BodyText"/>
      </w:pPr>
      <w:r>
        <w:t xml:space="preserve">Subject:Bridging Pedagogical Gaps Through the Deployment of a Qualified Teacher Secondary Specialist within the Munich Educational Ecosystem</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titled "Cross-Border Educational Integration Framework," outlines the strategic implementation, challenges encountered, and outcomes achieved during a specialized initiative focused on deploying an international educator in Munich. The core objective was to enhance the curriculum for secondary-level students by integrating diverse pedagogical approaches with the rigorous academic standards upheld by German educational institutions. This document serves as a comprehensive analysis of how a dedicated</w:t>
      </w:r>
      <w:r>
        <w:t xml:space="preserve"> </w:t>
      </w:r>
      <w:r>
        <w:rPr>
          <w:bCs/>
          <w:b/>
        </w:rPr>
        <w:t xml:space="preserve">Teacher Secondary</w:t>
      </w:r>
      <w:r>
        <w:t xml:space="preserve"> </w:t>
      </w:r>
      <w:r>
        <w:t xml:space="preserve">professional can serve as a catalyst for academic excellence and cultural cohesion within the dynamic environment of</w:t>
      </w:r>
      <w:r>
        <w:t xml:space="preserve"> </w:t>
      </w:r>
      <w:r>
        <w:rPr>
          <w:bCs/>
          <w:b/>
        </w:rPr>
        <w:t xml:space="preserve">Germany Munich</w:t>
      </w:r>
      <w:r>
        <w:t xml:space="preserve">. The findings suggest that targeted teacher integration leads to improved student engagement, better language acquisition for non-native speakers, and enhanced multicultural awareness among local cohorts.</w:t>
      </w:r>
    </w:p>
    <w:bookmarkEnd w:id="20"/>
    <w:bookmarkStart w:id="21" w:name="introduction-and-contextual-background"/>
    <w:p>
      <w:pPr>
        <w:pStyle w:val="Heading2"/>
      </w:pPr>
      <w:r>
        <w:t xml:space="preserve">2. Introduction and Contextual Background</w:t>
      </w:r>
    </w:p>
    <w:p>
      <w:pPr>
        <w:pStyle w:val="FirstParagraph"/>
      </w:pPr>
      <w:r>
        <w:t xml:space="preserve">The city of Munich (</w:t>
      </w:r>
      <w:r>
        <w:rPr>
          <w:bCs/>
          <w:b/>
        </w:rPr>
        <w:t xml:space="preserve">Germany Munich</w:t>
      </w:r>
      <w:r>
        <w:t xml:space="preserve">) stands as a beacon of economic stability, technological innovation, and cultural diversity in Southern Bavaria. As the capital of Bavaria, it hosts one of Germany's most robust educational systems. However, with rapid urbanization and an influx of international families moving to</w:t>
      </w:r>
      <w:r>
        <w:t xml:space="preserve"> </w:t>
      </w:r>
      <w:r>
        <w:rPr>
          <w:bCs/>
          <w:b/>
        </w:rPr>
        <w:t xml:space="preserve">Germany Munich</w:t>
      </w:r>
      <w:r>
        <w:t xml:space="preserve"> </w:t>
      </w:r>
      <w:r>
        <w:t xml:space="preserve">for employment opportunities within the automotive and tech sectors, there arises a critical demand for educators who can navigate complex linguistic and pedagogical landscapes.</w:t>
      </w:r>
    </w:p>
    <w:p>
      <w:pPr>
        <w:pStyle w:val="BodyText"/>
      </w:pPr>
      <w:r>
        <w:t xml:space="preserve">The role of a</w:t>
      </w:r>
      <w:r>
        <w:t xml:space="preserve"> </w:t>
      </w:r>
      <w:r>
        <w:rPr>
          <w:bCs/>
          <w:b/>
        </w:rPr>
        <w:t xml:space="preserve">Teacher Secondary</w:t>
      </w:r>
      <w:r>
        <w:t xml:space="preserve"> </w:t>
      </w:r>
      <w:r>
        <w:t xml:space="preserve">in this context is not merely that of an instructor but also that of a cultural mediator. Secondary education represents a pivotal stage in adolescent development, where students prepare for vocational training or university entrance qualifications (Abitur). The integration report focuses on how structured support from specialized secondary teachers can address the unique needs of diverse student populations in</w:t>
      </w:r>
      <w:r>
        <w:t xml:space="preserve"> </w:t>
      </w:r>
      <w:r>
        <w:rPr>
          <w:bCs/>
          <w:b/>
        </w:rPr>
        <w:t xml:space="preserve">Germany Munich</w:t>
      </w:r>
      <w:r>
        <w:t xml:space="preserve">.</w:t>
      </w:r>
    </w:p>
    <w:bookmarkEnd w:id="21"/>
    <w:bookmarkStart w:id="22" w:name="objectives-of-the-project"/>
    <w:p>
      <w:pPr>
        <w:pStyle w:val="Heading2"/>
      </w:pPr>
      <w:r>
        <w:t xml:space="preserve">3. Objectives of the Project</w:t>
      </w:r>
    </w:p>
    <w:p>
      <w:pPr>
        <w:pStyle w:val="FirstParagraph"/>
      </w:pPr>
      <w:r>
        <w:t xml:space="preserve">The primary goals defined within this</w:t>
      </w:r>
      <w:r>
        <w:t xml:space="preserve"> </w:t>
      </w:r>
      <w:r>
        <w:rPr>
          <w:bCs/>
          <w:b/>
        </w:rPr>
        <w:t xml:space="preserve">Project Report</w:t>
      </w:r>
      <w:r>
        <w:t xml:space="preserve"> </w:t>
      </w:r>
      <w:r>
        <w:t xml:space="preserve">were as follows:</w:t>
      </w:r>
    </w:p>
    <w:p>
      <w:pPr>
        <w:numPr>
          <w:ilvl w:val="0"/>
          <w:numId w:val="1001"/>
        </w:numPr>
        <w:pStyle w:val="Compact"/>
      </w:pPr>
      <w:r>
        <w:t xml:space="preserve">To assess the current pedagogical requirements for secondary students in international and mixed-background schools in</w:t>
      </w:r>
      <w:r>
        <w:t xml:space="preserve"> </w:t>
      </w:r>
      <w:r>
        <w:rPr>
          <w:bCs/>
          <w:b/>
        </w:rPr>
        <w:t xml:space="preserve">Germany Munich</w:t>
      </w:r>
      <w:r>
        <w:t xml:space="preserve">.</w:t>
      </w:r>
    </w:p>
    <w:p>
      <w:pPr>
        <w:numPr>
          <w:ilvl w:val="0"/>
          <w:numId w:val="1001"/>
        </w:numPr>
        <w:pStyle w:val="Compact"/>
      </w:pPr>
      <w:r>
        <w:t xml:space="preserve">To deploy a specialized</w:t>
      </w:r>
      <w:r>
        <w:t xml:space="preserve"> </w:t>
      </w:r>
      <w:r>
        <w:rPr>
          <w:bCs/>
          <w:b/>
        </w:rPr>
        <w:t xml:space="preserve">Teacher Secondary</w:t>
      </w:r>
      <w:r>
        <w:t xml:space="preserve"> </w:t>
      </w:r>
      <w:r>
        <w:t xml:space="preserve">to implement inclusive teaching methodologies that cater to varying proficiency levels.</w:t>
      </w:r>
    </w:p>
    <w:p>
      <w:pPr>
        <w:numPr>
          <w:ilvl w:val="0"/>
          <w:numId w:val="1001"/>
        </w:numPr>
        <w:pStyle w:val="Compact"/>
      </w:pPr>
      <w:r>
        <w:t xml:space="preserve">To foster cross-cultural dialogue and reduce social fragmentation among student groups.</w:t>
      </w:r>
    </w:p>
    <w:p>
      <w:pPr>
        <w:numPr>
          <w:ilvl w:val="0"/>
          <w:numId w:val="1001"/>
        </w:numPr>
        <w:pStyle w:val="Compact"/>
      </w:pPr>
      <w:r>
        <w:t xml:space="preserve">To establish a sustainable model for ongoing professional development for local educators in</w:t>
      </w:r>
      <w:r>
        <w:t xml:space="preserve"> </w:t>
      </w:r>
      <w:r>
        <w:rPr>
          <w:bCs/>
          <w:b/>
        </w:rPr>
        <w:t xml:space="preserve">Germany Munich</w:t>
      </w:r>
      <w:r>
        <w:t xml:space="preserve">.</w:t>
      </w:r>
    </w:p>
    <w:bookmarkEnd w:id="22"/>
    <w:bookmarkStart w:id="25" w:name="methodology-and-implementation-strategy"/>
    <w:p>
      <w:pPr>
        <w:pStyle w:val="Heading2"/>
      </w:pPr>
      <w:r>
        <w:t xml:space="preserve">4. Methodology and Implementation Strategy</w:t>
      </w:r>
    </w:p>
    <w:p>
      <w:pPr>
        <w:pStyle w:val="FirstParagraph"/>
      </w:pPr>
      <w:r>
        <w:t xml:space="preserve">The implementation phase involved a meticulous selection process to identify the ideal</w:t>
      </w:r>
      <w:r>
        <w:t xml:space="preserve"> </w:t>
      </w:r>
      <w:r>
        <w:rPr>
          <w:bCs/>
          <w:b/>
        </w:rPr>
        <w:t xml:space="preserve">Teacher Secondary</w:t>
      </w:r>
      <w:r>
        <w:t xml:space="preserve">. The candidate was required to possess not only academic credentials but also fluency in German (C1 level) and English, alongside a deep understanding of the Bavarian educational curriculum (BayBiSchG).</w:t>
      </w:r>
    </w:p>
    <w:bookmarkStart w:id="23" w:name="curriculum-alignment"/>
    <w:p>
      <w:pPr>
        <w:pStyle w:val="Heading3"/>
      </w:pPr>
      <w:r>
        <w:t xml:space="preserve">4.1 Curriculum Alignment</w:t>
      </w:r>
    </w:p>
    <w:p>
      <w:pPr>
        <w:pStyle w:val="FirstParagraph"/>
      </w:pPr>
      <w:r>
        <w:t xml:space="preserve">The</w:t>
      </w:r>
      <w:r>
        <w:t xml:space="preserve"> </w:t>
      </w:r>
      <w:r>
        <w:rPr>
          <w:bCs/>
          <w:b/>
        </w:rPr>
        <w:t xml:space="preserve">Teacher Secondary</w:t>
      </w:r>
      <w:r>
        <w:t xml:space="preserve"> </w:t>
      </w:r>
      <w:r>
        <w:t xml:space="preserve">was tasked with aligning their lesson plans with the specific standards of</w:t>
      </w:r>
      <w:r>
        <w:t xml:space="preserve"> </w:t>
      </w:r>
      <w:r>
        <w:rPr>
          <w:bCs/>
          <w:b/>
        </w:rPr>
        <w:t xml:space="preserve">Germany Munich</w:t>
      </w:r>
      <w:r>
        <w:t xml:space="preserve">. This involved collaboration with local school administrators to ensure that international teaching methods complemented, rather than conflicted with, the established Bavarian framework. Focus areas included STEM (Science, Technology, Engineering, and Mathematics) subjects and modern foreign languages.</w:t>
      </w:r>
    </w:p>
    <w:bookmarkEnd w:id="23"/>
    <w:bookmarkStart w:id="24" w:name="cultural-integration-workshops"/>
    <w:p>
      <w:pPr>
        <w:pStyle w:val="Heading3"/>
      </w:pPr>
      <w:r>
        <w:t xml:space="preserve">4.2 Cultural Integration Workshops</w:t>
      </w:r>
    </w:p>
    <w:p>
      <w:pPr>
        <w:pStyle w:val="FirstParagraph"/>
      </w:pPr>
      <w:r>
        <w:t xml:space="preserve">Recognizing that education in</w:t>
      </w:r>
      <w:r>
        <w:t xml:space="preserve"> </w:t>
      </w:r>
      <w:r>
        <w:rPr>
          <w:bCs/>
          <w:b/>
        </w:rPr>
        <w:t xml:space="preserve">Germany Munich</w:t>
      </w:r>
      <w:r>
        <w:t xml:space="preserve"> </w:t>
      </w:r>
      <w:r>
        <w:t xml:space="preserve">is deeply tied to cultural values such as punctuality, direct communication, and structured learning environments the</w:t>
      </w:r>
      <w:r>
        <w:t xml:space="preserve"> </w:t>
      </w:r>
      <w:r>
        <w:rPr>
          <w:bCs/>
          <w:b/>
        </w:rPr>
        <w:t xml:space="preserve">Teacher Secondary</w:t>
      </w:r>
      <w:r>
        <w:t xml:space="preserve"> </w:t>
      </w:r>
      <w:r>
        <w:t xml:space="preserve">initiated workshops for both students and staff. These sessions aimed to bridge gaps between traditional German pedagogical expectations and more progressive international teaching styles.</w:t>
      </w:r>
    </w:p>
    <w:bookmarkEnd w:id="24"/>
    <w:bookmarkEnd w:id="25"/>
    <w:bookmarkStart w:id="26" w:name="challenges-encountered"/>
    <w:p>
      <w:pPr>
        <w:pStyle w:val="Heading2"/>
      </w:pPr>
      <w:r>
        <w:t xml:space="preserve">5. Challenges Encountered</w:t>
      </w:r>
    </w:p>
    <w:p>
      <w:pPr>
        <w:pStyle w:val="FirstParagraph"/>
      </w:pPr>
      <w:r>
        <w:t xml:space="preserve">The project identified several significant hurdles during its execution in</w:t>
      </w:r>
      <w:r>
        <w:t xml:space="preserve"> </w:t>
      </w:r>
      <w:r>
        <w:rPr>
          <w:bCs/>
          <w:b/>
        </w:rPr>
        <w:t xml:space="preserve">Germany Munich</w:t>
      </w:r>
      <w:r>
        <w:t xml:space="preserve">:</w:t>
      </w:r>
    </w:p>
    <w:p>
      <w:pPr>
        <w:numPr>
          <w:ilvl w:val="0"/>
          <w:numId w:val="1002"/>
        </w:numPr>
        <w:pStyle w:val="Compact"/>
      </w:pPr>
      <w:r>
        <w:t xml:space="preserve">Bureaucratic Delays: Navigating the certification recognition process for foreign teaching qualifications proved time-consuming, impacting the initial start date of the</w:t>
      </w:r>
      <w:r>
        <w:t xml:space="preserve"> </w:t>
      </w:r>
      <w:r>
        <w:rPr>
          <w:bCs/>
          <w:b/>
        </w:rPr>
        <w:t xml:space="preserve">Teacher Secondary</w:t>
      </w:r>
      <w:r>
        <w:t xml:space="preserve">.</w:t>
      </w:r>
    </w:p>
    <w:p>
      <w:pPr>
        <w:numPr>
          <w:ilvl w:val="0"/>
          <w:numId w:val="1003"/>
        </w:numPr>
        <w:pStyle w:val="Compact"/>
      </w:pPr>
      <w:r>
        <w:t xml:space="preserve">Linguistic Nuances: While high levels of German proficiency are common in</w:t>
      </w:r>
      <w:r>
        <w:t xml:space="preserve"> </w:t>
      </w:r>
      <w:r>
        <w:rPr>
          <w:bCs/>
          <w:b/>
        </w:rPr>
        <w:t xml:space="preserve">Germany Munich</w:t>
      </w:r>
      <w:r>
        <w:t xml:space="preserve">, educational jargon and regional Bavarian dialects posed challenges for students and teachers alike.</w:t>
      </w:r>
    </w:p>
    <w:p>
      <w:pPr>
        <w:numPr>
          <w:ilvl w:val="0"/>
          <w:numId w:val="1004"/>
        </w:numPr>
        <w:pStyle w:val="Compact"/>
      </w:pPr>
      <w:r>
        <w:t xml:space="preserve">Curriculum Rigidity: Adapting flexible international teaching strategies to fit the rigid testing schedules prevalent in secondary education within</w:t>
      </w:r>
      <w:r>
        <w:t xml:space="preserve"> </w:t>
      </w:r>
      <w:r>
        <w:rPr>
          <w:bCs/>
          <w:b/>
        </w:rPr>
        <w:t xml:space="preserve">Germany Munich</w:t>
      </w:r>
      <w:r>
        <w:t xml:space="preserve">.</w:t>
      </w:r>
    </w:p>
    <w:bookmarkEnd w:id="26"/>
    <w:bookmarkStart w:id="28" w:name="results-and-impact-assessment"/>
    <w:p>
      <w:pPr>
        <w:pStyle w:val="Heading2"/>
      </w:pPr>
      <w:r>
        <w:t xml:space="preserve">6. Results and Impact Assessment</w:t>
      </w:r>
    </w:p>
    <w:p>
      <w:pPr>
        <w:pStyle w:val="FirstParagraph"/>
      </w:pPr>
      <w:r>
        <w:t xml:space="preserve">Data collected over a twelve-month period indicates positive outcomes across multiple metrics:</w:t>
      </w:r>
    </w:p>
    <w:p>
      <w:pPr>
        <w:pStyle w:val="BodyText"/>
      </w:pPr>
      <w:r>
        <w:t xml:space="preserve">Metric</w:t>
      </w:r>
    </w:p>
    <w:p>
      <w:pPr>
        <w:pStyle w:val="BodyText"/>
      </w:pPr>
      <w:r>
        <w:t xml:space="preserve">Pre-Implementation Status in Germany Munich</w:t>
      </w:r>
    </w:p>
    <w:p>
      <w:pPr>
        <w:pStyle w:val="BodyText"/>
      </w:pPr>
      <w:r>
        <w:t xml:space="preserve">The deployment of a qualified</w:t>
      </w:r>
      <w:r>
        <w:t xml:space="preserve"> </w:t>
      </w:r>
      <w:r>
        <w:rPr>
          <w:bCs/>
          <w:b/>
        </w:rPr>
        <w:t xml:space="preserve">Teachers Secondary</w:t>
      </w:r>
      <w:r>
        <w:t xml:space="preserve"> </w:t>
      </w:r>
      <w:r>
        <w:t xml:space="preserve">resulted in a 15% improvement in interdisciplinary project scores among participating students.</w:t>
      </w:r>
    </w:p>
    <w:bookmarkStart w:id="27" w:name="academic-performance"/>
    <w:p>
      <w:pPr>
        <w:pStyle w:val="Heading3"/>
      </w:pPr>
      <w:r>
        <w:t xml:space="preserve">6.1 Academic Performance</w:t>
      </w:r>
    </w:p>
    <w:p>
      <w:pPr>
        <w:pStyle w:val="FirstParagraph"/>
      </w:pPr>
      <w:r>
        <w:t xml:space="preserve">In schools across</w:t>
      </w:r>
      <w:r>
        <w:t xml:space="preserve"> </w:t>
      </w:r>
      <w:r>
        <w:rPr>
          <w:bCs/>
          <w:b/>
        </w:rPr>
        <w:t xml:space="preserve">Germany Munich</w:t>
      </w:r>
      <w:r>
        <w:t xml:space="preserve">, the introduction of varied instructional methods by the</w:t>
      </w:r>
    </w:p>
    <w:p>
      <w:pPr>
        <w:pStyle w:val="BodyText"/>
      </w:pPr>
      <w:r>
        <w:t xml:space="preserve">Teacher Secondary</w:t>
      </w:r>
    </w:p>
    <w:p>
      <w:pPr>
        <w:pStyle w:val="BodyText"/>
      </w:pPr>
      <w:r>
        <w:t xml:space="preserve">Project Report: Teacher Secondary Germany Munich Project Report: Teacher Secondary Germany Munich Project Report: Teacher Secondary Germany Munich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Integration in Germany Munich</dc:title>
  <dc:creator/>
  <dc:language>en</dc:language>
  <cp:keywords/>
  <dcterms:created xsi:type="dcterms:W3CDTF">2026-07-29T11:59:38Z</dcterms:created>
  <dcterms:modified xsi:type="dcterms:W3CDTF">2026-07-29T11:59:38Z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