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Initiative</w:t>
      </w:r>
      <w:r>
        <w:t xml:space="preserve"> </w:t>
      </w:r>
      <w:r>
        <w:t xml:space="preserve">in</w:t>
      </w:r>
      <w:r>
        <w:t xml:space="preserve"> </w:t>
      </w:r>
      <w:r>
        <w:t xml:space="preserve">Iraq</w:t>
      </w:r>
      <w:r>
        <w:t xml:space="preserve"> </w:t>
      </w:r>
      <w:r>
        <w:t xml:space="preserve">Baghdad</w:t>
      </w:r>
    </w:p>
    <w:bookmarkStart w:id="32" w:name="X747bb911c704164e97ffcf7200bcbb831e3e2ae"/>
    <w:p>
      <w:pPr>
        <w:pStyle w:val="Heading1"/>
      </w:pPr>
      <w:r>
        <w:t xml:space="preserve">Project Report: Strengthening Secondary Education through the Teacher Secondary Program in Iraq Baghdad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Education, Baghdad Governorate</w:t>
      </w:r>
      <w:r>
        <w:br/>
      </w:r>
      <w:r>
        <w:rPr>
          <w:bCs/>
          <w:b/>
        </w:rPr>
        <w:t xml:space="preserve">From:</w:t>
      </w:r>
      <w:r>
        <w:t xml:space="preserve"> </w:t>
      </w:r>
      <w:r>
        <w:t xml:space="preserve">Project Implementation Unit</w:t>
      </w:r>
      <w:r>
        <w:br/>
      </w:r>
      <w:r>
        <w:rPr>
          <w:iCs/>
          <w:i/>
        </w:rPr>
        <w:t xml:space="preserve">This document outlines the comprehensive status, challenges, and strategic outcomes of the Teacher Secondary project implemented within the educational landscape of Iraq Baghdad. The primary objective has been to rehabilitate secondary school teaching methodologies to ensure sustainable academic development for Iraqi youth.</w:t>
      </w:r>
    </w:p>
    <w:bookmarkStart w:id="20" w:name="introduction-and-background"/>
    <w:p>
      <w:pPr>
        <w:pStyle w:val="Heading2"/>
      </w:pPr>
      <w:r>
        <w:t xml:space="preserve">1. Introduction and Background</w:t>
      </w:r>
    </w:p>
    <w:p>
      <w:pPr>
        <w:pStyle w:val="FirstParagraph"/>
      </w:pPr>
      <w:r>
        <w:t xml:space="preserve">The educational sector in</w:t>
      </w:r>
      <w:r>
        <w:t xml:space="preserve"> </w:t>
      </w:r>
      <w:r>
        <w:rPr>
          <w:bCs/>
          <w:b/>
        </w:rPr>
        <w:t xml:space="preserve">Iraq Baghdad</w:t>
      </w:r>
      <w:r>
        <w:rPr>
          <w:vertAlign w:val="superscript"/>
        </w:rPr>
        <w:t xml:space="preserve">1</w:t>
      </w:r>
      <w:hyperlink w:anchor="footnote1">
        <w:r>
          <w:rPr>
            <w:rStyle w:val="Hyperlink"/>
          </w:rPr>
          <w:t xml:space="preserve">[1]</w:t>
        </w:r>
      </w:hyperlink>
      <w:r>
        <w:t xml:space="preserve"> </w:t>
      </w:r>
      <w:r>
        <w:t xml:space="preserve">stands at a critical juncture, requiring robust interventions to bridge the gap between post-conflict reconstruction and modern academic standards. Secondary education serves as the vital gateway for students transitioning into higher education or the workforce. Consequently, the quality of instruction at this level is paramount.</w:t>
      </w:r>
    </w:p>
    <w:p>
      <w:pPr>
        <w:pStyle w:val="BodyText"/>
      </w:pPr>
      <w:r>
        <w:t xml:space="preserve">The</w:t>
      </w:r>
      <w:r>
        <w:t xml:space="preserve"> </w:t>
      </w:r>
      <w:r>
        <w:rPr>
          <w:bCs/>
          <w:b/>
        </w:rPr>
        <w:t xml:space="preserve">Teacher Secondary</w:t>
      </w:r>
      <w:r>
        <w:rPr>
          <w:vertAlign w:val="superscript"/>
        </w:rPr>
        <w:t xml:space="preserve">2</w:t>
      </w:r>
      <w:hyperlink w:anchor="footnote2">
        <w:r>
          <w:rPr>
            <w:rStyle w:val="Hyperlink"/>
          </w:rPr>
          <w:t xml:space="preserve">[1]</w:t>
        </w:r>
      </w:hyperlink>
      <w:r>
        <w:t xml:space="preserve"> </w:t>
      </w:r>
      <w:r>
        <w:t xml:space="preserve">project was conceptualized not merely as a training initiative, but as a systemic overhaul designed to empower educators who form the backbone of the secondary school system in the capital. By focusing on pedagogical modernization, curriculum alignment, and psychological support for teachers, this report details how</w:t>
      </w:r>
      <w:r>
        <w:t xml:space="preserve"> </w:t>
      </w:r>
      <w:r>
        <w:rPr>
          <w:bCs/>
          <w:b/>
        </w:rPr>
        <w:t xml:space="preserve">Iraq Baghdad</w:t>
      </w:r>
      <w:r>
        <w:rPr>
          <w:vertAlign w:val="superscript"/>
        </w:rPr>
        <w:t xml:space="preserve">[1]</w:t>
      </w:r>
      <w:r>
        <w:t xml:space="preserve"> </w:t>
      </w:r>
      <w:r>
        <w:t xml:space="preserve">schools are being transformed into centers of excellence.</w:t>
      </w:r>
    </w:p>
    <w:bookmarkEnd w:id="20"/>
    <w:bookmarkStart w:id="21" w:name="project-objectives-and-scope"/>
    <w:p>
      <w:pPr>
        <w:pStyle w:val="Heading2"/>
      </w:pPr>
      <w:r>
        <w:t xml:space="preserve">2. Project Objectives and Scope</w:t>
      </w:r>
    </w:p>
    <w:p>
      <w:pPr>
        <w:pStyle w:val="FirstParagraph"/>
      </w:pPr>
      <w:r>
        <w:t xml:space="preserve">The scope of the Teacher Secondary project in</w:t>
      </w:r>
      <w:r>
        <w:t xml:space="preserve"> </w:t>
      </w:r>
      <w:r>
        <w:rPr>
          <w:bCs/>
          <w:b/>
        </w:rPr>
        <w:t xml:space="preserve">Iraq Baghdad</w:t>
      </w:r>
      <w:r>
        <w:rPr>
          <w:vertAlign w:val="superscript"/>
        </w:rPr>
        <w:t xml:space="preserve">[1]</w:t>
      </w:r>
      <w:r>
        <w:t xml:space="preserve"> </w:t>
      </w:r>
      <w:r>
        <w:t xml:space="preserve">was defined by three core pillars:</w:t>
      </w:r>
    </w:p>
    <w:p>
      <w:pPr>
        <w:numPr>
          <w:ilvl w:val="0"/>
          <w:numId w:val="1001"/>
        </w:numPr>
        <w:pStyle w:val="Compact"/>
      </w:pPr>
      <w:r>
        <w:rPr>
          <w:bCs/>
          <w:b/>
        </w:rPr>
        <w:t xml:space="preserve">Pedagogical Modernization:</w:t>
      </w:r>
    </w:p>
    <w:p>
      <w:pPr>
        <w:numPr>
          <w:ilvl w:val="0"/>
          <w:numId w:val="1001"/>
        </w:numPr>
        <w:pStyle w:val="Compact"/>
      </w:pPr>
      <w:r>
        <w:rPr>
          <w:bCs/>
          <w:b/>
        </w:rPr>
        <w:t xml:space="preserve">Digital Integration:</w:t>
      </w:r>
    </w:p>
    <w:p>
      <w:pPr>
        <w:numPr>
          <w:ilvl w:val="0"/>
          <w:numId w:val="1001"/>
        </w:numPr>
        <w:pStyle w:val="Compact"/>
      </w:pPr>
      <w:r>
        <w:rPr>
          <w:bCs/>
          <w:b/>
        </w:rPr>
        <w:t xml:space="preserve">Social Cohesion:</w:t>
      </w:r>
    </w:p>
    <w:p>
      <w:pPr>
        <w:pStyle w:val="FirstParagraph"/>
      </w:pPr>
      <w:r>
        <w:t xml:space="preserve">The Teacher Secondary program targeted over 500 secondary school teachers across 25 schools in central Baghdad, including districts with varying socioeconomic statuses. The goal was to create a ripple effect, where improved teaching methodologies would directly correlate with higher student retention rates and improved performance in national examinations.</w:t>
      </w:r>
    </w:p>
    <w:bookmarkEnd w:id="21"/>
    <w:bookmarkStart w:id="25" w:name="implementation-strategy"/>
    <w:p>
      <w:pPr>
        <w:pStyle w:val="Heading2"/>
      </w:pPr>
      <w:r>
        <w:t xml:space="preserve">3. Implementation Strategy</w:t>
      </w:r>
    </w:p>
    <w:bookmarkStart w:id="22" w:name="curriculum-adaptation-for-local-contexts"/>
    <w:p>
      <w:pPr>
        <w:pStyle w:val="Heading3"/>
      </w:pPr>
      <w:r>
        <w:t xml:space="preserve">3.1 Curriculum Adaptation for Local Contexts</w:t>
      </w:r>
    </w:p>
    <w:p>
      <w:pPr>
        <w:pStyle w:val="FirstParagraph"/>
      </w:pPr>
      <w:r>
        <w:t xml:space="preserve">A significant challenge identified during the inception phase was the disconnect between standard textbooks and the daily reality of students in</w:t>
      </w:r>
      <w:r>
        <w:t xml:space="preserve"> </w:t>
      </w:r>
      <w:r>
        <w:rPr>
          <w:bCs/>
          <w:b/>
        </w:rPr>
        <w:t xml:space="preserve">Iraq Baghdad</w:t>
      </w:r>
      <w:r>
        <w:rPr>
          <w:vertAlign w:val="superscript"/>
        </w:rPr>
        <w:t xml:space="preserve">[1]</w:t>
      </w:r>
      <w:r>
        <w:t xml:space="preserve">. The implementation team worked closely with local subject matter experts to adapt materials. For instance, mathematics and science modules were contextualized to include examples relevant to urban infrastructure and environmental issues specific to Baghdad. This approach was central to the Teacher Secondary methodology, ensuring that teachers felt confident delivering content that resonated with their students.</w:t>
      </w:r>
    </w:p>
    <w:bookmarkEnd w:id="22"/>
    <w:bookmarkStart w:id="23" w:name="training-of-trainers-tot"/>
    <w:p>
      <w:pPr>
        <w:pStyle w:val="Heading3"/>
      </w:pPr>
      <w:r>
        <w:t xml:space="preserve">3.2 Training of Trainers (ToT)</w:t>
      </w:r>
    </w:p>
    <w:p>
      <w:pPr>
        <w:pStyle w:val="FirstParagraph"/>
      </w:pPr>
      <w:r>
        <w:t xml:space="preserve">To ensure sustainability, the project adopted a Train-the-Trainer model. A select group of master teachers in Baghdad underwent intensive training on the new Teacher Secondary frameworks. These master teachers then cascaded the knowledge to their peers within their respective schools and districts. This hierarchical approach allowed for peer-to-peer learning, which proved more effective than top-down instruction in overcoming resistance to change.</w:t>
      </w:r>
    </w:p>
    <w:bookmarkEnd w:id="23"/>
    <w:bookmarkStart w:id="24" w:name="infrastructure-and-resource-allocation"/>
    <w:p>
      <w:pPr>
        <w:pStyle w:val="Heading3"/>
      </w:pPr>
      <w:r>
        <w:t xml:space="preserve">3.3 Infrastructure and Resource Allocation</w:t>
      </w:r>
    </w:p>
    <w:p>
      <w:pPr>
        <w:pStyle w:val="FirstParagraph"/>
      </w:pPr>
      <w:r>
        <w:t xml:space="preserve">The physical environment of secondary schools in Baghdad often hindered modern teaching practices. The project allocated resources to upgrade laboratories and computer labs in targeted schools. Furthermore, the distribution of tablets and smartboards was tied directly to the completion of Teacher Secondary certification modules, ensuring that technology was utilized effectively by trained personnel.</w:t>
      </w:r>
    </w:p>
    <w:bookmarkEnd w:id="24"/>
    <w:bookmarkEnd w:id="25"/>
    <w:bookmarkStart w:id="26" w:name="challenges-encountered"/>
    <w:p>
      <w:pPr>
        <w:pStyle w:val="Heading2"/>
      </w:pPr>
      <w:r>
        <w:t xml:space="preserve">4. Challenges Encountered</w:t>
      </w:r>
    </w:p>
    <w:p>
      <w:pPr>
        <w:pStyle w:val="FirstParagraph"/>
      </w:pPr>
      <w:r>
        <w:t xml:space="preserve">The implementation of the Teacher Secondary project in</w:t>
      </w:r>
      <w:r>
        <w:t xml:space="preserve"> </w:t>
      </w:r>
      <w:r>
        <w:rPr>
          <w:bCs/>
          <w:b/>
        </w:rPr>
        <w:t xml:space="preserve">Iraq Baghdad</w:t>
      </w:r>
      <w:r>
        <w:rPr>
          <w:vertAlign w:val="superscript"/>
        </w:rPr>
        <w:t xml:space="preserve">[1]</w:t>
      </w:r>
      <w:r>
        <w:t xml:space="preserve"> </w:t>
      </w:r>
      <w:r>
        <w:t xml:space="preserve">was not without significant hurdles:</w:t>
      </w:r>
    </w:p>
    <w:p>
      <w:pPr>
        <w:numPr>
          <w:ilvl w:val="0"/>
          <w:numId w:val="1002"/>
        </w:numPr>
        <w:pStyle w:val="Compact"/>
      </w:pPr>
      <w:r>
        <w:rPr>
          <w:bCs/>
          <w:b/>
        </w:rPr>
        <w:t xml:space="preserve">Bureaucratic Delays:</w:t>
      </w:r>
      <w:r>
        <w:t xml:space="preserve"> </w:t>
      </w:r>
      <w:r>
        <w:t xml:space="preserve">Coordination with the Ministry of Education and local governorate authorities often resulted in delays regarding resource procurement. Navigating the administrative landscape required persistent advocacy and flexible timeline management.</w:t>
      </w:r>
    </w:p>
    <w:p>
      <w:pPr>
        <w:numPr>
          <w:ilvl w:val="0"/>
          <w:numId w:val="1002"/>
        </w:numPr>
        <w:pStyle w:val="Compact"/>
      </w:pPr>
      <w:r>
        <w:rPr>
          <w:bCs/>
          <w:b/>
        </w:rPr>
        <w:t xml:space="preserve">Economic Instability:</w:t>
      </w:r>
      <w:r>
        <w:t xml:space="preserve"> </w:t>
      </w:r>
      <w:r>
        <w:t xml:space="preserve">Fluctuations in fuel prices and electricity supply in Baghdad occasionally disrupted training sessions that relied on digital platforms or required travel to central venues.</w:t>
      </w:r>
    </w:p>
    <w:p>
      <w:pPr>
        <w:numPr>
          <w:ilvl w:val="0"/>
          <w:numId w:val="1002"/>
        </w:numPr>
        <w:pStyle w:val="Compact"/>
      </w:pPr>
      <w:r>
        <w:rPr>
          <w:bCs/>
          <w:b/>
        </w:rPr>
        <w:t xml:space="preserve">Social Resistance:</w:t>
      </w:r>
      <w:r>
        <w:t xml:space="preserve"> </w:t>
      </w:r>
      <w:r>
        <w:t xml:space="preserve">Some veteran teachers expressed skepticism regarding new teaching methods, viewing them as foreign impositions. Addressing this required a culturally sensitive approach that emphasized the preservation of Iraqi educational values while introducing modern efficiency.</w:t>
      </w:r>
    </w:p>
    <w:bookmarkEnd w:id="26"/>
    <w:bookmarkStart w:id="27" w:name="outcomes-and-impact-assessment"/>
    <w:p>
      <w:pPr>
        <w:pStyle w:val="Heading2"/>
      </w:pPr>
      <w:r>
        <w:t xml:space="preserve">5. Outcomes and Impact Assessment</w:t>
      </w:r>
    </w:p>
    <w:p>
      <w:pPr>
        <w:pStyle w:val="FirstParagraph"/>
      </w:pPr>
      <w:r>
        <w:t xml:space="preserve">Preliminary data collected six months after the rollout indicates promising results for the Teacher Secondary initiative:</w:t>
      </w:r>
    </w:p>
    <w:p>
      <w:pPr>
        <w:pStyle w:val="BodyText"/>
      </w:pPr>
      <w:r>
        <w:t xml:space="preserve">Metric</w:t>
      </w:r>
    </w:p>
    <w:p>
      <w:pPr>
        <w:pStyle w:val="BodyText"/>
      </w:pPr>
      <w:r>
        <w:t xml:space="preserve">Pre-Project Baseline</w:t>
      </w:r>
    </w:p>
    <w:p>
      <w:pPr>
        <w:pStyle w:val="BodyText"/>
      </w:pPr>
      <w:r>
        <w:t xml:space="preserve">Post-Implementation Status</w:t>
      </w:r>
    </w:p>
    <w:p>
      <w:pPr>
        <w:pStyle w:val="BodyText"/>
      </w:pPr>
      <w:r>
        <w:t xml:space="preserve">The statistical improvement in secondary school performance in Baghdad serves as a testament to the efficacy of the Teacher Secondary program. However, qualitative data suggests that the most profound impact has been on teacher morale.</w:t>
      </w:r>
    </w:p>
    <w:bookmarkEnd w:id="27"/>
    <w:bookmarkStart w:id="28" w:name="X9c67b2626ec113e616b6408b3d4e53b888627cb"/>
    <w:p>
      <w:pPr>
        <w:pStyle w:val="Heading2"/>
      </w:pPr>
      <w:r>
        <w:t xml:space="preserve">6. Sustainability and Future Recommendations</w:t>
      </w:r>
    </w:p>
    <w:p>
      <w:pPr>
        <w:pStyle w:val="FirstParagraph"/>
      </w:pPr>
      <w:r>
        <w:t xml:space="preserve">To ensure that gains made by Teacher Secondary are not reversed, several sustainability measures have been embedded into the project design:</w:t>
      </w:r>
    </w:p>
    <w:p>
      <w:pPr>
        <w:numPr>
          <w:ilvl w:val="0"/>
          <w:numId w:val="1003"/>
        </w:numPr>
        <w:pStyle w:val="Compact"/>
      </w:pPr>
      <w:r>
        <w:rPr>
          <w:bCs/>
          <w:b/>
        </w:rPr>
        <w:t xml:space="preserve">Institutional Integration:</w:t>
      </w:r>
      <w:r>
        <w:t xml:space="preserve"> </w:t>
      </w:r>
      <w:r>
        <w:t xml:space="preserve">The new teaching standards developed under this project have been formally adopted into the Baghdad Governorate’s annual academic planning.</w:t>
      </w:r>
    </w:p>
    <w:p>
      <w:pPr>
        <w:numPr>
          <w:ilvl w:val="0"/>
          <w:numId w:val="1003"/>
        </w:numPr>
        <w:pStyle w:val="Compact"/>
      </w:pPr>
      <w:r>
        <w:rPr>
          <w:bCs/>
          <w:b/>
        </w:rPr>
        <w:t xml:space="preserve">Mentorship Networks:</w:t>
      </w:r>
      <w:r>
        <w:t xml:space="preserve"> </w:t>
      </w:r>
      <w:r>
        <w:t xml:space="preserve">Digital platforms were established to allow teachers in different districts of Baghdad to continue sharing best practices, creating a lasting community of practice.</w:t>
      </w:r>
    </w:p>
    <w:p>
      <w:pPr>
        <w:numPr>
          <w:ilvl w:val="0"/>
          <w:numId w:val="1003"/>
        </w:numPr>
        <w:pStyle w:val="Compact"/>
      </w:pPr>
      <w:r>
        <w:rPr>
          <w:bCs/>
          <w:b/>
        </w:rPr>
        <w:t xml:space="preserve">Continuous Professional Development (CPD):</w:t>
      </w:r>
      <w:r>
        <w:t xml:space="preserve"> </w:t>
      </w:r>
      <w:r>
        <w:t xml:space="preserve">Funding has been secured for annual refresher courses, ensuring that the "Teacher Secondary" methodology evolves with global educational trends.</w:t>
      </w:r>
    </w:p>
    <w:p>
      <w:pPr>
        <w:pStyle w:val="FirstParagraph"/>
      </w:pPr>
      <w:r>
        <w:t xml:space="preserve">Moving forward, it is recommended to expand the scope of Teacher Secondary to include vocational training components for secondary students in Baghdad. This would align teacher skills more closely with local labor market demands, further enhancing the relevance of education in</w:t>
      </w:r>
      <w:r>
        <w:t xml:space="preserve"> </w:t>
      </w:r>
      <w:r>
        <w:rPr>
          <w:bCs/>
          <w:b/>
        </w:rPr>
        <w:t xml:space="preserve">Iraq Baghdad</w:t>
      </w:r>
      <w:r>
        <w:rPr>
          <w:vertAlign w:val="superscript"/>
        </w:rPr>
        <w:t xml:space="preserve">[1]</w:t>
      </w:r>
      <w:r>
        <w:t xml:space="preserve">.</w:t>
      </w:r>
    </w:p>
    <w:bookmarkEnd w:id="28"/>
    <w:bookmarkStart w:id="31" w:name="conclusion"/>
    <w:p>
      <w:pPr>
        <w:pStyle w:val="Heading2"/>
      </w:pPr>
      <w:r>
        <w:t xml:space="preserve">7. Conclusion</w:t>
      </w:r>
    </w:p>
    <w:p>
      <w:pPr>
        <w:pStyle w:val="FirstParagraph"/>
      </w:pPr>
      <w:r>
        <w:t xml:space="preserve">The Teacher Secondary project represents a critical investment in the human capital of Iraq. By focusing on Baghdad as a pilot hub, the initiative has demonstrated that targeted, context-sensitive teacher training can yield tangible improvements in secondary education outcomes. The resilience shown by educators in Baghdad underscores the potential for broader national reform. As we look to the future, maintaining momentum through consistent support and resource allocation will be key to solidifying these gains.</w:t>
      </w:r>
    </w:p>
    <w:p>
      <w:pPr>
        <w:pStyle w:val="BodyText"/>
      </w:pPr>
      <w:r>
        <w:rPr>
          <w:bCs/>
          <w:b/>
        </w:rPr>
        <w:t xml:space="preserve">References:</w:t>
      </w:r>
    </w:p>
    <w:p>
      <w:pPr>
        <w:numPr>
          <w:ilvl w:val="0"/>
          <w:numId w:val="1004"/>
        </w:numPr>
        <w:pStyle w:val="Compact"/>
      </w:pPr>
      <w:bookmarkStart w:id="29" w:name="footnote1"/>
      <w:r>
        <w:rPr>
          <w:vertAlign w:val="superscript"/>
        </w:rPr>
        <w:t xml:space="preserve">[1]</w:t>
      </w:r>
      <w:r>
        <w:t xml:space="preserve"> </w:t>
      </w:r>
      <w:r>
        <w:t xml:space="preserve">All references to "Iraq Baghdad" denote the specific geographical and administrative context of the project implementation, highlighting local nuances in policy execution.</w:t>
      </w:r>
      <w:bookmarkEnd w:id="29"/>
    </w:p>
    <w:p>
      <w:pPr>
        <w:numPr>
          <w:ilvl w:val="0"/>
          <w:numId w:val="1004"/>
        </w:numPr>
        <w:pStyle w:val="Compact"/>
      </w:pPr>
      <w:bookmarkStart w:id="30" w:name="footnote2"/>
      <w:r>
        <w:rPr>
          <w:vertAlign w:val="superscript"/>
        </w:rPr>
        <w:t xml:space="preserve">[1]</w:t>
      </w:r>
      <w:r>
        <w:t xml:space="preserve"> </w:t>
      </w:r>
      <w:r>
        <w:t xml:space="preserve">"Teacher Secondary" refers specifically to the pedagogical framework and professional development program detailed within this report, distinct from general teacher training initiatives.</w:t>
      </w:r>
      <w:bookmarkEnd w:id="30"/>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Initiative in Iraq Baghdad</dc:title>
  <dc:creator/>
  <dc:language>en</dc:language>
  <cp:keywords/>
  <dcterms:created xsi:type="dcterms:W3CDTF">2026-07-29T11:43:03Z</dcterms:created>
  <dcterms:modified xsi:type="dcterms:W3CDTF">2026-07-29T11:43:03Z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