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2816198763823a4253031e9f0e31c910fcebcc"/>
    <w:p>
      <w:pPr>
        <w:pStyle w:val="Heading1"/>
      </w:pPr>
      <w:r>
        <w:t xml:space="preserve">Project Report: Teacher Secondary Initiative in Ivory Coast Abidjan</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Ministry of National Education and Universal Education, Republic of Côte d'Ivoire</w:t>
      </w:r>
      <w:r>
        <w:br/>
      </w:r>
      <w:r>
        <w:rPr>
          <w:bCs/>
          <w:b/>
        </w:rPr>
        <w:t xml:space="preserve">From:</w:t>
      </w:r>
      <w:r>
        <w:t xml:space="preserve"> </w:t>
      </w:r>
      <w:r>
        <w:t xml:space="preserve">Project Management Unit — Abidjan District Office</w:t>
      </w:r>
      <w:r>
        <w:br/>
      </w:r>
      <w:r>
        <w:br/>
      </w:r>
    </w:p>
    <w:bookmarkEnd w:id="20"/>
    <w:bookmarkStart w:id="21" w:name="executive-summary"/>
    <w:p>
      <w:pPr>
        <w:pStyle w:val="Heading1"/>
      </w:pPr>
      <w:r>
        <w:t xml:space="preserve">Executive Summary</w:t>
      </w:r>
    </w:p>
    <w:p>
      <w:pPr>
        <w:pStyle w:val="FirstParagraph"/>
      </w:pPr>
      <w:r>
        <w:t xml:space="preserve">This comprehensive</w:t>
      </w:r>
      <w:r>
        <w:t xml:space="preserve"> </w:t>
      </w:r>
      <w:r>
        <w:rPr>
          <w:bCs/>
          <w:b/>
        </w:rPr>
        <w:t xml:space="preserve">Project Report</w:t>
      </w:r>
      <w:r>
        <w:t xml:space="preserve"> </w:t>
      </w:r>
      <w:r>
        <w:t xml:space="preserve">provides a detailed analysis of the strategic interventions implemented to enhance the quality of secondary education within</w:t>
      </w:r>
      <w:r>
        <w:t xml:space="preserve"> </w:t>
      </w:r>
      <w:r>
        <w:rPr>
          <w:bCs/>
          <w:b/>
        </w:rPr>
        <w:t xml:space="preserve">Ivory Coast Abidjan</w:t>
      </w:r>
      <w:r>
        <w:t xml:space="preserve">. As one of West Africa's most dynamic urban centers, Abidjan faces unique pedagogical challenges driven by rapid demographic growth and infrastructural constraints. The core objective of this initiative was to upgrade the qualification level, professional competency, and resource accessibility for every</w:t>
      </w:r>
      <w:r>
        <w:t xml:space="preserve"> </w:t>
      </w:r>
      <w:r>
        <w:rPr>
          <w:bCs/>
          <w:b/>
        </w:rPr>
        <w:t xml:space="preserve">Teacher Secondary</w:t>
      </w:r>
      <w:r>
        <w:t xml:space="preserve"> </w:t>
      </w:r>
      <w:r>
        <w:t xml:space="preserve">employed in public high schools across the district. By focusing on continuous professional development (CPD) and technological integration, this project aims to bridge the gap between national educational standards and classroom reality.</w:t>
      </w:r>
    </w:p>
    <w:bookmarkEnd w:id="21"/>
    <w:bookmarkStart w:id="22" w:name="contextual-background"/>
    <w:p>
      <w:pPr>
        <w:pStyle w:val="Heading1"/>
      </w:pPr>
      <w:r>
        <w:t xml:space="preserve">1. Contextual Background</w:t>
      </w:r>
    </w:p>
    <w:p>
      <w:pPr>
        <w:pStyle w:val="FirstParagraph"/>
      </w:pPr>
      <w:r>
        <w:t xml:space="preserve">The Republic of Côte d'Ivoire has long prioritized education as a pillar of its socioeconomic development agenda. In</w:t>
      </w:r>
      <w:r>
        <w:t xml:space="preserve"> </w:t>
      </w:r>
      <w:r>
        <w:rPr>
          <w:bCs/>
          <w:b/>
        </w:rPr>
        <w:t xml:space="preserve">Ivory Coast Abidjan</w:t>
      </w:r>
      <w:r>
        <w:t xml:space="preserve">, the urban concentration necessitates an educational system capable of handling high student enrollment rates without compromising quality. Historically, the region has struggled with a deficit in trained personnel and outdated teaching methodologies. The existing framework for</w:t>
      </w:r>
      <w:r>
        <w:t xml:space="preserve"> </w:t>
      </w:r>
      <w:r>
        <w:rPr>
          <w:bCs/>
          <w:b/>
        </w:rPr>
        <w:t xml:space="preserve">Teacher Secondary</w:t>
      </w:r>
      <w:r>
        <w:t xml:space="preserve"> </w:t>
      </w:r>
      <w:r>
        <w:t xml:space="preserve">recruitment was largely theoretical, lacking sufficient practical training modules relevant to modern pedagogical requirements.</w:t>
      </w:r>
    </w:p>
    <w:p>
      <w:pPr>
        <w:pStyle w:val="BodyText"/>
      </w:pPr>
      <w:r>
        <w:t xml:space="preserve">The urban landscape of Abidjan is characterized by diverse socioeconomic strata. Schools in district hubs such as Cocody and Plateau face different challenges compared to those in rapidly expanding peripheral communes like Yopougon or Abobo. This</w:t>
      </w:r>
      <w:r>
        <w:t xml:space="preserve"> </w:t>
      </w:r>
      <w:r>
        <w:rPr>
          <w:bCs/>
          <w:b/>
        </w:rPr>
        <w:t xml:space="preserve">Project Report</w:t>
      </w:r>
      <w:r>
        <w:t xml:space="preserve"> </w:t>
      </w:r>
      <w:r>
        <w:t xml:space="preserve">outlines how the intervention was tailored to address these disparities, ensuring that a</w:t>
      </w:r>
      <w:r>
        <w:t xml:space="preserve"> </w:t>
      </w:r>
      <w:r>
        <w:rPr>
          <w:bCs/>
          <w:b/>
        </w:rPr>
        <w:t xml:space="preserve">Teacher Secondary</w:t>
      </w:r>
      <w:r>
        <w:t xml:space="preserve"> </w:t>
      </w:r>
      <w:r>
        <w:t xml:space="preserve">in any commune of</w:t>
      </w:r>
      <w:r>
        <w:t xml:space="preserve"> </w:t>
      </w:r>
      <w:r>
        <w:rPr>
          <w:bCs/>
          <w:b/>
        </w:rPr>
        <w:t xml:space="preserve">Ivory Coast Abidjan</w:t>
      </w:r>
      <w:r>
        <w:t xml:space="preserve"> </w:t>
      </w:r>
      <w:r>
        <w:t xml:space="preserve">receives equitable support and resources.</w:t>
      </w:r>
    </w:p>
    <w:bookmarkEnd w:id="22"/>
    <w:bookmarkStart w:id="23" w:name="project-objectives-and-scope"/>
    <w:p>
      <w:pPr>
        <w:pStyle w:val="Heading1"/>
      </w:pPr>
      <w:r>
        <w:t xml:space="preserve">2. Project Objectives and Scope</w:t>
      </w:r>
    </w:p>
    <w:p>
      <w:pPr>
        <w:pStyle w:val="FirstParagraph"/>
      </w:pPr>
      <w:r>
        <w:t xml:space="preserve">The primary scope of this initiative was defined by three critical goals designed to revolutionize the secondary education sector in</w:t>
      </w:r>
      <w:r>
        <w:t xml:space="preserve"> </w:t>
      </w:r>
      <w:r>
        <w:rPr>
          <w:bCs/>
          <w:b/>
        </w:rPr>
        <w:t xml:space="preserve">Ivory Coast Abidjan</w:t>
      </w:r>
      <w:r>
        <w:t xml:space="preserve">:</w:t>
      </w:r>
    </w:p>
    <w:p>
      <w:pPr>
        <w:numPr>
          <w:ilvl w:val="0"/>
          <w:numId w:val="1001"/>
        </w:numPr>
        <w:pStyle w:val="Compact"/>
      </w:pPr>
      <w:r>
        <w:rPr>
          <w:bCs/>
          <w:b/>
        </w:rPr>
        <w:t xml:space="preserve">Skill Enhancement:</w:t>
      </w:r>
      <w:r>
        <w:t xml:space="preserve"> </w:t>
      </w:r>
      <w:r>
        <w:t xml:space="preserve">To provide advanced training modules for 5,000 active secondary teachers, focusing on student-centered learning and digital literacy.</w:t>
      </w:r>
    </w:p>
    <w:p>
      <w:pPr>
        <w:numPr>
          <w:ilvl w:val="0"/>
          <w:numId w:val="1001"/>
        </w:numPr>
        <w:pStyle w:val="Compact"/>
      </w:pPr>
      <w:r>
        <w:rPr>
          <w:bCs/>
          <w:b/>
        </w:rPr>
        <w:t xml:space="preserve">Institutional Support:</w:t>
      </w:r>
      <w:r>
        <w:t xml:space="preserve"> </w:t>
      </w:r>
      <w:r>
        <w:t xml:space="preserve">To supply modern teaching aids and laboratory equipment to partner schools.</w:t>
      </w:r>
    </w:p>
    <w:p>
      <w:pPr>
        <w:numPr>
          <w:ilvl w:val="0"/>
          <w:numId w:val="1001"/>
        </w:numPr>
        <w:pStyle w:val="Compact"/>
      </w:pPr>
      <w:r>
        <w:rPr>
          <w:bCs/>
          <w:b/>
        </w:rPr>
        <w:t xml:space="preserve">Mentorship Framework:</w:t>
      </w:r>
      <w:r>
        <w:t xml:space="preserve"> </w:t>
      </w:r>
      <w:r>
        <w:t xml:space="preserve">To establish a peer-review system where experienced educators mentor junior staff across the district of</w:t>
      </w:r>
      <w:r>
        <w:t xml:space="preserve"> </w:t>
      </w:r>
      <w:r>
        <w:rPr>
          <w:bCs/>
          <w:b/>
        </w:rPr>
        <w:t xml:space="preserve">Ivory Coast Abidjan</w:t>
      </w:r>
      <w:r>
        <w:t xml:space="preserve">.</w:t>
      </w:r>
    </w:p>
    <w:p>
      <w:pPr>
        <w:pStyle w:val="FirstParagraph"/>
      </w:pPr>
      <w:r>
        <w:t xml:space="preserve">The success of these objectives is directly tied to the empowerment of each individual</w:t>
      </w:r>
      <w:r>
        <w:t xml:space="preserve"> </w:t>
      </w:r>
      <w:r>
        <w:rPr>
          <w:bCs/>
          <w:b/>
        </w:rPr>
        <w:t xml:space="preserve">Teacher Secondary</w:t>
      </w:r>
      <w:r>
        <w:t xml:space="preserve">, transforming them from mere transmitters of knowledge into facilitators of critical thinking.</w:t>
      </w:r>
    </w:p>
    <w:bookmarkEnd w:id="23"/>
    <w:bookmarkStart w:id="27" w:name="implementation-strategy"/>
    <w:p>
      <w:pPr>
        <w:pStyle w:val="Heading1"/>
      </w:pPr>
      <w:r>
        <w:t xml:space="preserve">3. Implementation Strategy</w:t>
      </w:r>
    </w:p>
    <w:p>
      <w:pPr>
        <w:pStyle w:val="FirstParagraph"/>
      </w:pPr>
      <w:r>
        <w:t xml:space="preserve">The implementation phase was executed in three distinct stages, ensuring that the transformation of the</w:t>
      </w:r>
      <w:r>
        <w:t xml:space="preserve"> </w:t>
      </w:r>
      <w:r>
        <w:rPr>
          <w:bCs/>
          <w:b/>
        </w:rPr>
        <w:t xml:space="preserve">Teacher Secondary</w:t>
      </w:r>
      <w:r>
        <w:t xml:space="preserve"> </w:t>
      </w:r>
      <w:r>
        <w:t xml:space="preserve">workforce in</w:t>
      </w:r>
      <w:r>
        <w:t xml:space="preserve"> </w:t>
      </w:r>
      <w:r>
        <w:rPr>
          <w:bCs/>
          <w:b/>
        </w:rPr>
        <w:t xml:space="preserve">Ivory Coast Abidjan</w:t>
      </w:r>
      <w:r>
        <w:t xml:space="preserve"> </w:t>
      </w:r>
      <w:r>
        <w:t xml:space="preserve">was systematic and measurable.</w:t>
      </w:r>
    </w:p>
    <w:bookmarkStart w:id="24" w:name="X57e0396cdb9124468451cfacab1cb7196060e8f"/>
    <w:p>
      <w:pPr>
        <w:pStyle w:val="Heading3"/>
      </w:pPr>
      <w:r>
        <w:t xml:space="preserve">Phase 1: Needs Assessment and Curriculum Development (Q1)</w:t>
      </w:r>
    </w:p>
    <w:p>
      <w:pPr>
        <w:pStyle w:val="FirstParagraph"/>
      </w:pPr>
      <w:r>
        <w:t xml:space="preserve">A comprehensive survey was conducted across all secondary institutions in</w:t>
      </w:r>
      <w:r>
        <w:t xml:space="preserve"> </w:t>
      </w:r>
      <w:r>
        <w:rPr>
          <w:bCs/>
          <w:b/>
        </w:rPr>
        <w:t xml:space="preserve">Ivory Coast Abidjan</w:t>
      </w:r>
      <w:r>
        <w:t xml:space="preserve">. The data revealed that while teachers possessed strong subject matter expertise, they lacked confidence in utilizing modern educational technology. Consequently, the curriculum for the training of every</w:t>
      </w:r>
      <w:r>
        <w:t xml:space="preserve"> </w:t>
      </w:r>
      <w:r>
        <w:rPr>
          <w:bCs/>
          <w:b/>
        </w:rPr>
        <w:t xml:space="preserve">Teacher Secondary</w:t>
      </w:r>
      <w:r>
        <w:t xml:space="preserve"> </w:t>
      </w:r>
      <w:r>
        <w:t xml:space="preserve">was redesigned to include intensive workshops on e-learning platforms and interactive classroom management.</w:t>
      </w:r>
    </w:p>
    <w:bookmarkEnd w:id="24"/>
    <w:bookmarkStart w:id="25" w:name="X7ec54343f7b3e7c53e7ac6666e4842bf9d121d9"/>
    <w:p>
      <w:pPr>
        <w:pStyle w:val="Heading3"/>
      </w:pPr>
      <w:r>
        <w:t xml:space="preserve">Phase 2: Capacity Building Workshops (Q2-Q3)</w:t>
      </w:r>
    </w:p>
    <w:p>
      <w:pPr>
        <w:pStyle w:val="FirstParagraph"/>
      </w:pPr>
      <w:r>
        <w:t xml:space="preserve">This phase involved rolling out regional training hubs in Abidjan. Over 4,000 sessions were held, bringing together</w:t>
      </w:r>
      <w:r>
        <w:t xml:space="preserve"> </w:t>
      </w:r>
      <w:r>
        <w:rPr>
          <w:bCs/>
          <w:b/>
        </w:rPr>
        <w:t xml:space="preserve">Teacher Secondary</w:t>
      </w:r>
      <w:r>
        <w:t xml:space="preserve"> </w:t>
      </w:r>
      <w:r>
        <w:t xml:space="preserve">professionals from various districts. The workshops utilized a "train-the-trainer" model to ensure sustainability. Furthermore, partnerships with local universities in</w:t>
      </w:r>
      <w:r>
        <w:t xml:space="preserve"> </w:t>
      </w:r>
      <w:r>
        <w:rPr>
          <w:bCs/>
          <w:b/>
        </w:rPr>
        <w:t xml:space="preserve">Ivory Coast Abidjan</w:t>
      </w:r>
      <w:r>
        <w:t xml:space="preserve"> </w:t>
      </w:r>
      <w:r>
        <w:t xml:space="preserve">allowed for the accreditation of these modules as part of the continuous professional development requirements.</w:t>
      </w:r>
    </w:p>
    <w:bookmarkEnd w:id="25"/>
    <w:bookmarkStart w:id="26" w:name="phase-3-deployment-and-monitoring-q4"/>
    <w:p>
      <w:pPr>
        <w:pStyle w:val="Heading3"/>
      </w:pPr>
      <w:r>
        <w:t xml:space="preserve">Phase 3: Deployment and Monitoring (Q4)</w:t>
      </w:r>
    </w:p>
    <w:p>
      <w:pPr>
        <w:pStyle w:val="FirstParagraph"/>
      </w:pPr>
      <w:r>
        <w:t xml:space="preserve">The final stage focused on the practical application of skills in classrooms. Monitoring teams visited schools to observe pedagogical improvements. This feedback loop allowed for immediate corrections, ensuring that a</w:t>
      </w:r>
      <w:r>
        <w:t xml:space="preserve"> </w:t>
      </w:r>
      <w:r>
        <w:rPr>
          <w:bCs/>
          <w:b/>
        </w:rPr>
        <w:t xml:space="preserve">Teacher Secondary</w:t>
      </w:r>
      <w:r>
        <w:t xml:space="preserve"> </w:t>
      </w:r>
      <w:r>
        <w:t xml:space="preserve">was not only trained but effectively supported in their daily duties.</w:t>
      </w:r>
    </w:p>
    <w:bookmarkEnd w:id="26"/>
    <w:bookmarkEnd w:id="27"/>
    <w:bookmarkStart w:id="28" w:name="key-challenges-and-mitigation"/>
    <w:p>
      <w:pPr>
        <w:pStyle w:val="Heading1"/>
      </w:pPr>
      <w:r>
        <w:t xml:space="preserve">4. Key Challenges and Mitigation</w:t>
      </w:r>
    </w:p>
    <w:p>
      <w:pPr>
        <w:pStyle w:val="FirstParagraph"/>
      </w:pPr>
      <w:r>
        <w:t xml:space="preserve">The execution of this project within the dense urban environment of</w:t>
      </w:r>
      <w:r>
        <w:t xml:space="preserve"> </w:t>
      </w:r>
      <w:r>
        <w:rPr>
          <w:bCs/>
          <w:b/>
        </w:rPr>
        <w:t xml:space="preserve">Ivory Coast Abidjan</w:t>
      </w:r>
      <w:r>
        <w:t xml:space="preserve"> </w:t>
      </w:r>
      <w:r>
        <w:t xml:space="preserve">presented several logistical hurdles:</w:t>
      </w:r>
    </w:p>
    <w:p>
      <w:pPr>
        <w:numPr>
          <w:ilvl w:val="0"/>
          <w:numId w:val="1002"/>
        </w:numPr>
        <w:pStyle w:val="Compact"/>
      </w:pPr>
      <w:r>
        <w:rPr>
          <w:bCs/>
          <w:b/>
        </w:rPr>
        <w:t xml:space="preserve">Traffic and Logistics:</w:t>
      </w:r>
      <w:r>
        <w:t xml:space="preserve"> </w:t>
      </w:r>
      <w:r>
        <w:t xml:space="preserve">The notorious traffic congestion in Abidjan made it difficult for trainers to move between schools. Mitigation involved decentralizing training hubs into district-level community centers.</w:t>
      </w:r>
    </w:p>
    <w:p>
      <w:pPr>
        <w:numPr>
          <w:ilvl w:val="0"/>
          <w:numId w:val="1002"/>
        </w:numPr>
        <w:pStyle w:val="Compact"/>
      </w:pPr>
      <w:r>
        <w:rPr>
          <w:bCs/>
          <w:b/>
        </w:rPr>
        <w:t xml:space="preserve">Digital Divide:</w:t>
      </w:r>
      <w:r>
        <w:t xml:space="preserve"> </w:t>
      </w:r>
      <w:r>
        <w:t xml:space="preserve">Not all schools had reliable internet access. To address this, offline digital resources were distributed via USB drives to every participating</w:t>
      </w:r>
      <w:r>
        <w:t xml:space="preserve"> </w:t>
      </w:r>
      <w:r>
        <w:rPr>
          <w:bCs/>
          <w:b/>
        </w:rPr>
        <w:t xml:space="preserve">Teacher Secondary</w:t>
      </w:r>
      <w:r>
        <w:t xml:space="preserve">.</w:t>
      </w:r>
    </w:p>
    <w:p>
      <w:pPr>
        <w:numPr>
          <w:ilvl w:val="0"/>
          <w:numId w:val="1002"/>
        </w:numPr>
        <w:pStyle w:val="Compact"/>
      </w:pPr>
      <w:r>
        <w:rPr>
          <w:bCs/>
          <w:b/>
        </w:rPr>
        <w:t xml:space="preserve">Scheduling Conflicts:</w:t>
      </w:r>
      <w:r>
        <w:t xml:space="preserve"> </w:t>
      </w:r>
      <w:r>
        <w:t xml:space="preserve">Balancing training with academic calendars was complex. Flexible scheduling options, including evening and weekend modules, were introduced to accommodate the rigorous schedules of a typical</w:t>
      </w:r>
      <w:r>
        <w:t xml:space="preserve"> </w:t>
      </w:r>
      <w:r>
        <w:rPr>
          <w:bCs/>
          <w:b/>
        </w:rPr>
        <w:t xml:space="preserve">Ivory Coast Abidjan</w:t>
      </w:r>
      <w:r>
        <w:t xml:space="preserve"> </w:t>
      </w:r>
      <w:r>
        <w:t xml:space="preserve">school year.</w:t>
      </w:r>
    </w:p>
    <w:bookmarkEnd w:id="28"/>
    <w:bookmarkStart w:id="29" w:name="impact-assessment-and-results"/>
    <w:p>
      <w:pPr>
        <w:pStyle w:val="Heading1"/>
      </w:pPr>
      <w:r>
        <w:t xml:space="preserve">5. Impact Assessment and Results</w:t>
      </w:r>
    </w:p>
    <w:p>
      <w:pPr>
        <w:pStyle w:val="FirstParagraph"/>
      </w:pPr>
      <w:r>
        <w:t xml:space="preserve">The results documented in this</w:t>
      </w:r>
      <w:r>
        <w:t xml:space="preserve"> </w:t>
      </w:r>
      <w:r>
        <w:rPr>
          <w:bCs/>
          <w:b/>
        </w:rPr>
        <w:t xml:space="preserve">Project Report</w:t>
      </w:r>
      <w:r>
        <w:t xml:space="preserve">Ivory Coast Abidjan. Post-project evaluations show a 40% increase in student engagement metrics and a measurable improvement in national exam pass rates.</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Metric</w:t>
            </w:r>
          </w:p>
        </w:tc>
        <w:tc>
          <w:tcPr/>
          <w:p>
            <w:pPr>
              <w:pStyle w:val="Compact"/>
              <w:jc w:val="left"/>
            </w:pPr>
            <w:r>
              <w:t xml:space="preserve">Baseline (Pre-Project)</w:t>
            </w:r>
          </w:p>
        </w:tc>
        <w:tc>
          <w:tcPr/>
          <w:p>
            <w:pPr>
              <w:pStyle w:val="Compact"/>
              <w:jc w:val="left"/>
            </w:pPr>
            <w:r>
              <w:t xml:space="preserve">CURRENT (Post-Implementation)</w:t>
            </w:r>
          </w:p>
        </w:tc>
      </w:tr>
    </w:tbl>
    <w:p>
      <w:pPr>
        <w:pStyle w:val="BodyText"/>
      </w:pPr>
      <w:r>
        <w:t xml:space="preserve">Metric</w:t>
      </w:r>
    </w:p>
    <w:p>
      <w:pPr>
        <w:pStyle w:val="BodyText"/>
      </w:pPr>
      <w:r>
        <w:t xml:space="preserve">Baseline (Pre-Project)</w:t>
      </w:r>
    </w:p>
    <w:p>
      <w:pPr>
        <w:pStyle w:val="BodyText"/>
      </w:pPr>
      <w:r>
        <w:t xml:space="preserve">CURRENT (Post-Implementation)</w:t>
      </w:r>
    </w:p>
    <w:p>
      <w:pPr>
        <w:pStyle w:val="BodyText"/>
      </w:pPr>
      <w:r>
        <w:t xml:space="preserve">Pedagogical Competency Score</w:t>
      </w:r>
    </w:p>
    <w:p>
      <w:pPr>
        <w:pStyle w:val="BodyText"/>
      </w:pPr>
      <w:r>
        <w:t xml:space="preserve">65%</w:t>
      </w:r>
    </w:p>
    <w:p>
      <w:pPr>
        <w:pStyle w:val="BodyText"/>
      </w:pPr>
      <w:r>
        <w:rPr>
          <w:bCs/>
          <w:b/>
        </w:rPr>
        <w:t xml:space="preserve">89%</w:t>
      </w:r>
    </w:p>
    <w:p>
      <w:pPr>
        <w:pStyle w:val="BodyText"/>
      </w:pPr>
      <w:r>
        <w:t xml:space="preserve">Digital Tool Utilization by Teacher Secondary</w:t>
      </w:r>
    </w:p>
    <w:p>
      <w:pPr>
        <w:pStyle w:val="BodyText"/>
      </w:pPr>
      <w:r>
        <w:t xml:space="preserve">10%</w:t>
      </w:r>
    </w:p>
    <w:p>
      <w:pPr>
        <w:pStyle w:val="BodyText"/>
      </w:pPr>
      <w:r>
        <w:rPr>
          <w:bCs/>
          <w:b/>
        </w:rPr>
        <w:t xml:space="preserve">75%</w:t>
      </w:r>
    </w:p>
    <w:p>
      <w:pPr>
        <w:pStyle w:val="BodyText"/>
      </w:pPr>
      <w:r>
        <w:t xml:space="preserve">School Satisfaction Rate in Abidjan</w:t>
      </w:r>
    </w:p>
    <w:p>
      <w:pPr>
        <w:pStyle w:val="BodyText"/>
      </w:pPr>
      <w:r>
        <w:t xml:space="preserve">45%</w:t>
      </w:r>
    </w:p>
    <w:p>
      <w:pPr>
        <w:pStyle w:val="BodyText"/>
      </w:pPr>
      <w:r>
        <w:rPr>
          <w:bCs/>
          <w:b/>
        </w:rPr>
        <w:t xml:space="preserve">80%</w:t>
      </w:r>
    </w:p>
    <w:p>
      <w:pPr>
        <w:pStyle w:val="BodyText"/>
      </w:pPr>
      <w:r>
        <w:t xml:space="preserve">Metric</w:t>
      </w:r>
    </w:p>
    <w:p>
      <w:pPr>
        <w:pStyle w:val="BodyText"/>
      </w:pPr>
      <w:r>
        <w:t xml:space="preserve">Baseline (Pre-Project)</w:t>
      </w:r>
    </w:p>
    <w:p>
      <w:pPr>
        <w:pStyle w:val="BodyText"/>
      </w:pPr>
      <w:r>
        <w:t xml:space="preserve">CURRENT (Post-Implementation)</w:t>
      </w:r>
    </w:p>
    <w:p>
      <w:pPr>
        <w:pStyle w:val="BodyText"/>
      </w:pPr>
      <w:r>
        <w:t xml:space="preserve">Pedagogical Competency Score</w:t>
      </w:r>
    </w:p>
    <w:p>
      <w:pPr>
        <w:pStyle w:val="BodyText"/>
      </w:pPr>
      <w:r>
        <w:t xml:space="preserve">65%</w:t>
      </w:r>
    </w:p>
    <w:p>
      <w:pPr>
        <w:pStyle w:val="BodyText"/>
      </w:pPr>
      <w:r>
        <w:rPr>
          <w:bCs/>
          <w:b/>
        </w:rPr>
        <w:t xml:space="preserve">89%</w:t>
      </w:r>
    </w:p>
    <w:p>
      <w:pPr>
        <w:pStyle w:val="BodyText"/>
      </w:pPr>
      <w:r>
        <w:t xml:space="preserve">Digital Tool Utilization by Teacher Secondary</w:t>
      </w:r>
    </w:p>
    <w:p>
      <w:pPr>
        <w:pStyle w:val="BodyText"/>
      </w:pPr>
      <w:r>
        <w:t xml:space="preserve">10%</w:t>
      </w:r>
    </w:p>
    <w:p>
      <w:pPr>
        <w:pStyle w:val="BodyText"/>
      </w:pPr>
      <w:r>
        <w:rPr>
          <w:bCs/>
          <w:b/>
        </w:rPr>
        <w:t xml:space="preserve">75%</w:t>
      </w:r>
    </w:p>
    <w:p>
      <w:pPr>
        <w:pStyle w:val="BodyText"/>
      </w:pPr>
      <w:r>
        <w:t xml:space="preserve">School Satisfaction Rate in Abidjan</w:t>
      </w:r>
    </w:p>
    <w:p>
      <w:pPr>
        <w:pStyle w:val="BodyText"/>
      </w:pPr>
      <w:r>
        <w:t xml:space="preserve">45%</w:t>
      </w:r>
    </w:p>
    <w:p>
      <w:pPr>
        <w:pStyle w:val="BodyText"/>
      </w:pPr>
      <w:r>
        <w:rPr>
          <w:bCs/>
          <w:b/>
        </w:rPr>
        <w:t xml:space="preserve">80%</w:t>
      </w:r>
    </w:p>
    <w:p>
      <w:pPr>
        <w:pStyle w:val="BodyText"/>
      </w:pPr>
      <w:r>
        <w:t xml:space="preserve">The data clearly demonstrates that investing in the human capital of the</w:t>
      </w:r>
      <w:r>
        <w:t xml:space="preserve"> </w:t>
      </w:r>
      <w:r>
        <w:rPr>
          <w:bCs/>
          <w:b/>
        </w:rPr>
        <w:t xml:space="preserve">Ivory Coast Abidjan</w:t>
      </w:r>
      <w:r>
        <w:t xml:space="preserve"> </w:t>
      </w:r>
      <w:r>
        <w:t xml:space="preserve">education sector yields tangible results. The modernized skill set of each</w:t>
      </w:r>
      <w:r>
        <w:t xml:space="preserve"> </w:t>
      </w:r>
      <w:r>
        <w:rPr>
          <w:bCs/>
          <w:b/>
        </w:rPr>
        <w:t xml:space="preserve">Teacher Secondary</w:t>
      </w:r>
      <w:r>
        <w:t xml:space="preserve"> </w:t>
      </w:r>
      <w:r>
        <w:t xml:space="preserve">has directly translated into a more dynamic and effective learning environment for students.</w:t>
      </w:r>
    </w:p>
    <w:bookmarkEnd w:id="29"/>
    <w:bookmarkStart w:id="30" w:name="recommendations-and-future-outlook"/>
    <w:p>
      <w:pPr>
        <w:pStyle w:val="Heading1"/>
      </w:pPr>
      <w:r>
        <w:t xml:space="preserve">6. Recommendations and Future Outlook</w:t>
      </w:r>
    </w:p>
    <w:p>
      <w:pPr>
        <w:pStyle w:val="FirstParagraph"/>
      </w:pPr>
      <w:r>
        <w:t xml:space="preserve">Based on the findings presented in this</w:t>
      </w:r>
      <w:r>
        <w:t xml:space="preserve"> </w:t>
      </w:r>
      <w:r>
        <w:rPr>
          <w:bCs/>
          <w:b/>
        </w:rPr>
        <w:t xml:space="preserve">Project Report</w:t>
      </w:r>
      <w:r>
        <w:t xml:space="preserve">, it is recommended that the Ministry expand these initiatives to other regions of Côte d'Ivoire, using</w:t>
      </w:r>
      <w:r>
        <w:t xml:space="preserve"> </w:t>
      </w:r>
      <w:r>
        <w:rPr>
          <w:bCs/>
          <w:b/>
        </w:rPr>
        <w:t xml:space="preserve">Ivory Coast Abidjan</w:t>
      </w:r>
      <w:r>
        <w:t xml:space="preserve"> </w:t>
      </w:r>
      <w:r>
        <w:t xml:space="preserve">as a pilot model. Furthermore, sustained funding is required to maintain the digital infrastructure installed for every</w:t>
      </w:r>
    </w:p>
    <w:p>
      <w:pPr>
        <w:pStyle w:val="BodyText"/>
      </w:pPr>
      <w:r>
        <w:t xml:space="preserve">Teacher Secondary.</w:t>
      </w:r>
    </w:p>
    <w:p>
      <w:pPr>
        <w:pStyle w:val="BodyText"/>
      </w:pPr>
      <w:r>
        <w:t xml:space="preserve">We also recommend establishing a permanent "Center of Excellence" in Abidjan dedicated solely to secondary education research and teacher innovation. By continuing to prioritize the professional growth of educators, Ivory Coast will secure a robust future for its youth.</w:t>
      </w:r>
    </w:p>
    <w:bookmarkEnd w:id="30"/>
    <w:bookmarkStart w:id="31" w:name="conclusion"/>
    <w:p>
      <w:pPr>
        <w:pStyle w:val="Heading1"/>
      </w:pPr>
      <w:r>
        <w:t xml:space="preserve">7. Conclusion</w:t>
      </w:r>
    </w:p>
    <w:p>
      <w:pPr>
        <w:pStyle w:val="FirstParagraph"/>
      </w:pPr>
      <w:r>
        <w:t xml:space="preserve">In conclusion, this project has successfully redefined the role and capability of the</w:t>
      </w:r>
      <w:r>
        <w:t xml:space="preserve"> </w:t>
      </w:r>
      <w:r>
        <w:rPr>
          <w:bCs/>
          <w:b/>
        </w:rPr>
        <w:t xml:space="preserve">Teacher Secondary</w:t>
      </w:r>
      <w:r>
        <w:t xml:space="preserve"> </w:t>
      </w:r>
      <w:r>
        <w:t xml:space="preserve">within</w:t>
      </w:r>
      <w:r>
        <w:t xml:space="preserve"> </w:t>
      </w:r>
      <w:r>
        <w:rPr>
          <w:bCs/>
          <w:b/>
        </w:rPr>
        <w:t xml:space="preserve">Ivory Coast Abidjan</w:t>
      </w:r>
      <w:r>
        <w:t xml:space="preserve">. By addressing historical deficits in training and resources, we have laid a solid foundation for academic excellence. The commitment to continuous improvement ensures that every student in Abidjan benefits from high-quality instruction, driving the nation toward its developmental goals.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Ivory Coast Abidjan</dc:title>
  <dc:creator/>
  <dc:language>en</dc:language>
  <cp:keywords/>
  <dcterms:created xsi:type="dcterms:W3CDTF">2026-07-29T07:20:29Z</dcterms:created>
  <dcterms:modified xsi:type="dcterms:W3CDTF">2026-07-29T07:20:29Z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