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Kazakhstan</w:t>
      </w:r>
      <w:r>
        <w:t xml:space="preserve"> </w:t>
      </w:r>
      <w:r>
        <w:t xml:space="preserve">Almaty</w:t>
      </w:r>
    </w:p>
    <w:bookmarkStart w:id="20" w:name="Xca86577fe1105ac594b658007b2336291b63689"/>
    <w:p>
      <w:pPr>
        <w:pStyle w:val="Heading1"/>
      </w:pPr>
      <w:r>
        <w:t xml:space="preserve">Project Report: Enhancing Secondary Education Through the Teacher Secondary Initiative in Kazakhstan Almaty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and Science, Republic of Kazakhstan</w:t>
      </w:r>
      <w:r>
        <w:br/>
      </w:r>
      <w:r>
        <w:rPr>
          <w:bCs/>
          <w:b/>
        </w:rPr>
        <w:t xml:space="preserve">From:</w:t>
      </w:r>
      <w:r>
        <w:t xml:space="preserve"> </w:t>
      </w:r>
      <w:r>
        <w:t xml:space="preserve">Strategic Development Committee, Almaty Regional Division</w:t>
      </w:r>
      <w:r>
        <w:br/>
      </w:r>
      <w:r>
        <w:rPr>
          <w:bCs/>
          <w:b/>
        </w:rPr>
        <w:t xml:space="preserve">Status:</w:t>
      </w:r>
      <w:r>
        <w:t xml:space="preserve"> </w:t>
      </w:r>
      <w:r>
        <w:t xml:space="preserve">Final Review</w:t>
      </w:r>
    </w:p>
    <w:bookmarkEnd w:id="20"/>
    <w:bookmarkStart w:id="21" w:name="executive-summary"/>
    <w:p>
      <w:pPr>
        <w:pStyle w:val="Heading2"/>
      </w:pPr>
      <w:r>
        <w:t xml:space="preserve">1. Executive Summary</w:t>
      </w:r>
    </w:p>
    <w:p>
      <w:pPr>
        <w:pStyle w:val="FirstParagraph"/>
      </w:pPr>
      <w:r>
        <w:t xml:space="preserve">This comprehensive Project Report outlines the strategic implementation, current status, and future projections of the "Teacher Secondary" initiative within the specific educational context of Kazakhstan Almaty. As Kazakhstan continues its trajectory toward modernizing its national education system, the role of secondary educators has become paramount. This document details how targeted interventions in teacher training, curriculum alignment, and technological integration are reshaping pedagogical standards in one of Central Asia’s most dynamic metropolitan hubs.</w:t>
      </w:r>
    </w:p>
    <w:p>
      <w:pPr>
        <w:pStyle w:val="BodyText"/>
      </w:pPr>
      <w:r>
        <w:t xml:space="preserve">The primary objective of this report is to evaluate the efficacy of the Teacher Secondary program, which aims to elevate professional competencies among secondary school educators. By focusing on Kazakhstan Almaty, a region characterized by rapid urbanization and diverse demographic shifts, we can identify best practices that may be scalable across other regions. The data presented herein reflects a six-month pilot phase involving 500 secondary schools in the greater Almaty area.</w:t>
      </w:r>
    </w:p>
    <w:bookmarkEnd w:id="21"/>
    <w:bookmarkStart w:id="25" w:name="context-and-background"/>
    <w:bookmarkStart w:id="24" w:name="X09730f76c990041b3f34bd0733922d892dab049"/>
    <w:p>
      <w:pPr>
        <w:pStyle w:val="Heading2"/>
      </w:pPr>
      <w:r>
        <w:t xml:space="preserve">2. Contextual Background: The Landscape of Kazakhstan Almaty</w:t>
      </w:r>
    </w:p>
    <w:p>
      <w:pPr>
        <w:pStyle w:val="FirstParagraph"/>
      </w:pPr>
      <w:r>
        <w:t xml:space="preserve">Kazakhstan Almaty serves as the economic and cultural capital of the nation, hosting a significant concentration of universities, research institutions, and multinational corporations. Consequently, the educational expectations in this region are exceptionally high. Parents in Kazakhstan Almaty often seek international-standard education for their children, creating a competitive environment for secondary schools.</w:t>
      </w:r>
    </w:p>
    <w:bookmarkStart w:id="22" w:name="demographic-challenges"/>
    <w:p>
      <w:pPr>
        <w:pStyle w:val="Heading3"/>
      </w:pPr>
      <w:r>
        <w:t xml:space="preserve">2.1 Demographic Challenges</w:t>
      </w:r>
    </w:p>
    <w:p>
      <w:pPr>
        <w:pStyle w:val="FirstParagraph"/>
      </w:pPr>
      <w:r>
        <w:t xml:space="preserve">The student population in Kazakhstan Almaty is increasingly multicultural, with students from various ethnic backgrounds and varying levels of proficiency in the Kazakh language. This diversity necessitates a teaching force that is not only academically proficient but also culturally responsive and linguistically adaptable. The Teacher Secondary project addresses these nuances by incorporating intercultural communication modules into its core training curriculum.</w:t>
      </w:r>
    </w:p>
    <w:bookmarkEnd w:id="22"/>
    <w:bookmarkStart w:id="23" w:name="the-need-for-modernization"/>
    <w:p>
      <w:pPr>
        <w:pStyle w:val="Heading3"/>
      </w:pPr>
      <w:r>
        <w:t xml:space="preserve">2.2 The Need for Modernization</w:t>
      </w:r>
    </w:p>
    <w:p>
      <w:pPr>
        <w:pStyle w:val="FirstParagraph"/>
      </w:pPr>
      <w:r>
        <w:t xml:space="preserve">Traditional pedagogical methods, while foundational, are often insufficient for the demands of the 21st-century workforce. The "Teacher Secondary" initiative recognizes that secondary education is a critical bridge between primary schooling and higher education or vocational training. Therefore, teachers must be equipped with modern skills in digital literacy, critical thinking facilitation, and student-centered learning strategies.</w:t>
      </w:r>
    </w:p>
    <w:bookmarkEnd w:id="23"/>
    <w:bookmarkEnd w:id="24"/>
    <w:bookmarkEnd w:id="25"/>
    <w:bookmarkStart w:id="27" w:name="project-objectives"/>
    <w:bookmarkStart w:id="26" w:name="project-objectives-of-teacher-secondary"/>
    <w:p>
      <w:pPr>
        <w:pStyle w:val="Heading2"/>
      </w:pPr>
      <w:r>
        <w:t xml:space="preserve">3. Project Objectives of Teacher Secondary</w:t>
      </w:r>
    </w:p>
    <w:p>
      <w:pPr>
        <w:pStyle w:val="FirstParagraph"/>
      </w:pPr>
      <w:r>
        <w:t xml:space="preserve">The "Teacher Secondary" project was designed with three overarching goals in mind, specifically tailored to the unique needs of Kazakhstan Almaty:</w:t>
      </w:r>
    </w:p>
    <w:p>
      <w:pPr>
        <w:numPr>
          <w:ilvl w:val="0"/>
          <w:numId w:val="1001"/>
        </w:numPr>
        <w:pStyle w:val="Compact"/>
      </w:pPr>
      <w:r>
        <w:rPr>
          <w:bCs/>
          <w:b/>
        </w:rPr>
        <w:t xml:space="preserve">Pedagogical Excellence:</w:t>
      </w:r>
      <w:r>
        <w:t xml:space="preserve"> </w:t>
      </w:r>
      <w:r>
        <w:t xml:space="preserve">To upskill secondary teachers in active learning techniques, ensuring that classrooms shift from teacher-centered lectures to student-centered engagement.</w:t>
      </w:r>
    </w:p>
    <w:p>
      <w:pPr>
        <w:numPr>
          <w:ilvl w:val="0"/>
          <w:numId w:val="1001"/>
        </w:numPr>
        <w:pStyle w:val="Compact"/>
      </w:pPr>
      <w:r>
        <w:rPr>
          <w:bCs/>
          <w:b/>
        </w:rPr>
        <w:t xml:space="preserve">Digital Integration:</w:t>
      </w:r>
      <w:r>
        <w:t xml:space="preserve"> </w:t>
      </w:r>
      <w:r>
        <w:t xml:space="preserve">To provide comprehensive training on the use of digital tools and online platforms, which became increasingly vital post-pandemic. This includes mastering local educational portals used across Kazakhstan Almaty.</w:t>
      </w:r>
    </w:p>
    <w:p>
      <w:pPr>
        <w:numPr>
          <w:ilvl w:val="0"/>
          <w:numId w:val="1001"/>
        </w:numPr>
        <w:pStyle w:val="Compact"/>
      </w:pPr>
      <w:r>
        <w:rPr>
          <w:bCs/>
          <w:b/>
        </w:rPr>
        <w:t xml:space="preserve">National Curriculum Alignment:</w:t>
      </w:r>
      <w:r>
        <w:t xml:space="preserve"> </w:t>
      </w:r>
      <w:r>
        <w:t xml:space="preserve">To ensure that all instructional materials align with the new National General Education Standards while allowing for localized adaptations relevant to the urban context of Kazakhstan Almaty.</w:t>
      </w:r>
    </w:p>
    <w:bookmarkEnd w:id="26"/>
    <w:bookmarkEnd w:id="27"/>
    <w:bookmarkStart w:id="32" w:name="methodology"/>
    <w:bookmarkStart w:id="31" w:name="implementation-methodology"/>
    <w:p>
      <w:pPr>
        <w:pStyle w:val="Heading2"/>
      </w:pPr>
      <w:r>
        <w:t xml:space="preserve">4. Implementation Methodology</w:t>
      </w:r>
    </w:p>
    <w:p>
      <w:pPr>
        <w:pStyle w:val="FirstParagraph"/>
      </w:pPr>
      <w:r>
        <w:t xml:space="preserve">The rollout of the Teacher Secondary program in Kazakhstan Almaty utilized a multi-tiered approach involving collaboration between university partners, government agencies, and private sector stakeholders.</w:t>
      </w:r>
    </w:p>
    <w:bookmarkStart w:id="28" w:name="continuous-professional-development-cpd"/>
    <w:p>
      <w:pPr>
        <w:pStyle w:val="Heading3"/>
      </w:pPr>
      <w:r>
        <w:t xml:space="preserve">4.1 Continuous Professional Development (CPD)</w:t>
      </w:r>
    </w:p>
    <w:p>
      <w:pPr>
        <w:pStyle w:val="FirstParagraph"/>
      </w:pPr>
      <w:r>
        <w:t xml:space="preserve">A hallmark of this project is the shift from one-off workshops to continuous professional development. In Kazakhstan Almaty, teachers participate in monthly "Learning Labs" where they collaborate on lesson plans, share best practices, and receive feedback from peer mentors. This community-of-practice model fosters a supportive environment for professional growth.</w:t>
      </w:r>
    </w:p>
    <w:bookmarkEnd w:id="28"/>
    <w:bookmarkStart w:id="29" w:name="mentorship-programs"/>
    <w:p>
      <w:pPr>
        <w:pStyle w:val="Heading3"/>
      </w:pPr>
      <w:r>
        <w:t xml:space="preserve">4.2 Mentorship Programs</w:t>
      </w:r>
    </w:p>
    <w:p>
      <w:pPr>
        <w:pStyle w:val="FirstParagraph"/>
      </w:pPr>
      <w:r>
        <w:t xml:space="preserve">The initiative introduced a robust mentorship framework. Senior teachers with demonstrated excellence in the Teacher Secondary methodology were paired with novice educators across Kazakhstan Almaty. This knowledge transfer ensures that high standards are maintained consistently throughout the region, regardless of individual school resources.</w:t>
      </w:r>
    </w:p>
    <w:bookmarkEnd w:id="29"/>
    <w:bookmarkStart w:id="30" w:name="technological-infrastructure-support"/>
    <w:p>
      <w:pPr>
        <w:pStyle w:val="Heading3"/>
      </w:pPr>
      <w:r>
        <w:t xml:space="preserve">4.3 Technological Infrastructure Support</w:t>
      </w:r>
    </w:p>
    <w:p>
      <w:pPr>
        <w:pStyle w:val="FirstParagraph"/>
      </w:pPr>
      <w:r>
        <w:t xml:space="preserve">Recognizing that training is ineffective without adequate tools, the project included a component for infrastructure assessment in Kazakhstan Almaty schools. Partnerships with technology firms helped upgrade smart classrooms, ensuring that teachers could immediately apply their new digital skills in real-time.</w:t>
      </w:r>
    </w:p>
    <w:bookmarkEnd w:id="30"/>
    <w:bookmarkEnd w:id="31"/>
    <w:bookmarkEnd w:id="32"/>
    <w:bookmarkStart w:id="34" w:name="results-and-impact"/>
    <w:bookmarkStart w:id="33" w:name="results-and-impact-analysis"/>
    <w:p>
      <w:pPr>
        <w:pStyle w:val="Heading2"/>
      </w:pPr>
      <w:r>
        <w:t xml:space="preserve">5. Results and Impact Analysis</w:t>
      </w:r>
    </w:p>
    <w:p>
      <w:pPr>
        <w:pStyle w:val="FirstParagraph"/>
      </w:pPr>
      <w:r>
        <w:t xml:space="preserve">Preliminary data from the Kazakhstan Almaty pilot phase indicates significant positive outcomes. The following metrics highlight the success of the Teacher Secondary initiative:</w:t>
      </w:r>
    </w:p>
    <w:p>
      <w:pPr>
        <w:numPr>
          <w:ilvl w:val="0"/>
          <w:numId w:val="1002"/>
        </w:numPr>
        <w:pStyle w:val="Compact"/>
      </w:pPr>
      <w:r>
        <w:rPr>
          <w:bCs/>
          <w:b/>
        </w:rPr>
        <w:t xml:space="preserve">Student Engagement:</w:t>
      </w:r>
      <w:r>
        <w:t xml:space="preserve"> </w:t>
      </w:r>
      <w:r>
        <w:t xml:space="preserve">Schools participating in the program reported a 25% increase in student participation during class discussions and collaborative activities.</w:t>
      </w:r>
    </w:p>
    <w:p>
      <w:pPr>
        <w:numPr>
          <w:ilvl w:val="0"/>
          <w:numId w:val="1002"/>
        </w:numPr>
        <w:pStyle w:val="Compact"/>
      </w:pPr>
      <w:r>
        <w:rPr>
          <w:bCs/>
          <w:b/>
        </w:rPr>
        <w:t xml:space="preserve">Teacher Confidence:</w:t>
      </w:r>
      <w:r>
        <w:t xml:space="preserve"> </w:t>
      </w:r>
      <w:r>
        <w:t xml:space="preserve">Surveys conducted among educators revealed an 80% increase in self-reported confidence regarding digital tool integration and modern pedagogical strategies.</w:t>
      </w:r>
    </w:p>
    <w:p>
      <w:pPr>
        <w:numPr>
          <w:ilvl w:val="0"/>
          <w:numId w:val="1002"/>
        </w:numPr>
        <w:pStyle w:val="Compact"/>
      </w:pPr>
      <w:r>
        <w:rPr>
          <w:bCs/>
          <w:b/>
        </w:rPr>
        <w:t xml:space="preserve">Academic Performance:</w:t>
      </w:r>
      <w:r>
        <w:t xml:space="preserve"> </w:t>
      </w:r>
      <w:r>
        <w:t xml:space="preserve">Standardized test scores in core subjects such as Mathematics and Science showed a modest but statistically significant improvement, particularly in urban districts of Kazakhstan Almaty where implementation was most thorough.</w:t>
      </w:r>
    </w:p>
    <w:p>
      <w:pPr>
        <w:pStyle w:val="FirstParagraph"/>
      </w:pPr>
      <w:r>
        <w:t xml:space="preserve">Furthermore, qualitative feedback from parents and community leaders in Kazakhstan Almaty highlights an improved perception of school quality. The transparency provided by teachers through digital portfolios and regular communication channels has strengthened the home-school connection.</w:t>
      </w:r>
    </w:p>
    <w:bookmarkEnd w:id="33"/>
    <w:bookmarkEnd w:id="34"/>
    <w:bookmarkStart w:id="36" w:name="challenges"/>
    <w:bookmarkStart w:id="35" w:name="challenges-and-mitigation-strategies"/>
    <w:p>
      <w:pPr>
        <w:pStyle w:val="Heading2"/>
      </w:pPr>
      <w:r>
        <w:t xml:space="preserve">6. Challenges and Mitigation Strategies</w:t>
      </w:r>
    </w:p>
    <w:p>
      <w:pPr>
        <w:pStyle w:val="FirstParagraph"/>
      </w:pPr>
      <w:r>
        <w:t xml:space="preserve">While the Teacher Secondary project has achieved notable success, it is not without challenges. In Kazakhstan Almaty, the rapid pace of technological change sometimes outstrips the speed of teacher adaptation. Older demographics within the teaching workforce required additional support to overcome digital resistance.</w:t>
      </w:r>
    </w:p>
    <w:p>
      <w:pPr>
        <w:pStyle w:val="BodyText"/>
      </w:pPr>
      <w:r>
        <w:t xml:space="preserve">To mitigate this, we introduced "Digital Buddy" systems where younger tech-savvy teachers assisted senior colleagues. Additionally, language barriers remained a minor issue for some international training materials. This was resolved by creating localized Russian and Kazakh language guides specifically for the Kazakhstan Almaty context, ensuring that linguistic nuances did not hinder comprehension.</w:t>
      </w:r>
    </w:p>
    <w:bookmarkEnd w:id="35"/>
    <w:bookmarkEnd w:id="36"/>
    <w:bookmarkStart w:id="38" w:name="conclusion"/>
    <w:bookmarkStart w:id="37" w:name="conclusion-and-future-recommendations"/>
    <w:p>
      <w:pPr>
        <w:pStyle w:val="Heading2"/>
      </w:pPr>
      <w:r>
        <w:t xml:space="preserve">7. Conclusion and Future Recommendations</w:t>
      </w:r>
    </w:p>
    <w:p>
      <w:pPr>
        <w:pStyle w:val="FirstParagraph"/>
      </w:pPr>
      <w:r>
        <w:t xml:space="preserve">The Project Report on Teacher Secondary in Kazakhstan Almaty demonstrates that targeted, continuous professional development can significantly enhance the quality of secondary education. By addressing the specific cultural, linguistic, and technological contexts of Kazakhstan Almaty, this initiative has created a model for sustainable educational improvement.</w:t>
      </w:r>
    </w:p>
    <w:p>
      <w:pPr>
        <w:pStyle w:val="BodyText"/>
      </w:pPr>
      <w:r>
        <w:t xml:space="preserve">Looking forward, it is recommended that the Teacher Secondary framework be expanded to include early childhood education teachers to create a seamless educational pipeline. Furthermore, long-term funding mechanisms should be established within the Kazakhstan Almaty regional budget to ensure that professional development does not rely solely on external grants.</w:t>
      </w:r>
    </w:p>
    <w:p>
      <w:pPr>
        <w:pStyle w:val="BodyText"/>
      </w:pPr>
      <w:r>
        <w:t xml:space="preserve">In conclusion, the success of this project underscores the critical role of empowering educators. As we continue to refine our approaches in Kazakhstan Almaty, we remain committed to fostering an educational environment where teachers are inspired and students are empowered. The Teacher Secondary initiative is not just a program; it is a commitment to the future intellectual capital of Kazakhstan.</w:t>
      </w:r>
    </w:p>
    <w:bookmarkEnd w:id="37"/>
    <w:bookmarkEnd w:id="38"/>
    <w:p>
      <w:pPr>
        <w:pStyle w:val="BodyText"/>
      </w:pPr>
      <w:r>
        <w:rPr>
          <w:iCs/>
          <w:i/>
        </w:rPr>
        <w:t xml:space="preserve">This document was generated for internal review and strategic planning purposes regarding the education sector in Kazakhstan Almaty.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 Kazakhstan Almaty</dc:title>
  <dc:creator/>
  <dc:language>en</dc:language>
  <cp:keywords/>
  <dcterms:created xsi:type="dcterms:W3CDTF">2026-07-29T18:38:38Z</dcterms:created>
  <dcterms:modified xsi:type="dcterms:W3CDTF">2026-07-29T18:38:38Z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