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Secondary</w:t>
      </w:r>
      <w:r>
        <w:t xml:space="preserve"> </w:t>
      </w:r>
      <w:r>
        <w:t xml:space="preserve">Education</w:t>
      </w:r>
      <w:r>
        <w:t xml:space="preserve"> </w:t>
      </w:r>
      <w:r>
        <w:t xml:space="preserve">Implementation</w:t>
      </w:r>
      <w:r>
        <w:t xml:space="preserve"> </w:t>
      </w:r>
      <w:r>
        <w:t xml:space="preserve">in</w:t>
      </w:r>
      <w:r>
        <w:t xml:space="preserve"> </w:t>
      </w:r>
      <w:r>
        <w:t xml:space="preserve">Philippines</w:t>
      </w:r>
      <w:r>
        <w:t xml:space="preserve"> </w:t>
      </w:r>
      <w:r>
        <w:t xml:space="preserve">Manila</w:t>
      </w:r>
    </w:p>
    <w:bookmarkStart w:id="32" w:name="Xcd7af2c0b6038dbe162a91bf120ea58dcb957d1"/>
    <w:p>
      <w:pPr>
        <w:pStyle w:val="Heading1"/>
      </w:pPr>
      <w:r>
        <w:t xml:space="preserve">Project Report: Secondary Education Implementation in Philippines Manila</w:t>
      </w:r>
    </w:p>
    <w:p>
      <w:pPr>
        <w:pStyle w:val="FirstParagraph"/>
      </w:pPr>
      <w:r>
        <w:rPr>
          <w:bCs/>
          <w:b/>
        </w:rPr>
        <w:t xml:space="preserve">Date:</w:t>
      </w:r>
      <w:r>
        <w:t xml:space="preserve"> </w:t>
      </w:r>
      <w:r>
        <w:t xml:space="preserve">October 26, 2023</w:t>
      </w:r>
      <w:r>
        <w:br/>
      </w:r>
      <w:r>
        <w:rPr>
          <w:bCs/>
          <w:b/>
        </w:rPr>
        <w:t xml:space="preserve">To:</w:t>
      </w:r>
      <w:r>
        <w:t xml:space="preserve">National Department of Education (DepEd) Regional Office III &amp; Local Government Unit of Manila</w:t>
      </w:r>
      <w:r>
        <w:br/>
      </w:r>
    </w:p>
    <w:p>
      <w:pPr>
        <w:pStyle w:val="BodyText"/>
      </w:pPr>
      <w:r>
        <w:t xml:space="preserve">From:Project Management Office - Secondary Education Division</w:t>
      </w:r>
      <w:r>
        <w:br/>
      </w:r>
    </w:p>
    <w:p>
      <w:pPr>
        <w:pStyle w:val="BodyText"/>
      </w:pPr>
      <w:r>
        <w:t xml:space="preserve">Subject:Strategic Implementation and Operational Review of Teacher Secondary Programs in Philippines Manila</w:t>
      </w:r>
    </w:p>
    <w:bookmarkStart w:id="20" w:name="executive-summary"/>
    <w:p>
      <w:pPr>
        <w:pStyle w:val="Heading2"/>
      </w:pPr>
      <w:r>
        <w:t xml:space="preserve">1. Executive Summary</w:t>
      </w:r>
    </w:p>
    <w:p>
      <w:pPr>
        <w:pStyle w:val="FirstParagraph"/>
      </w:pPr>
      <w:r>
        <w:t xml:space="preserve">This document serves as a comprehensive Project Report detailing the current status, challenges, and strategic directives regarding the deployment of qualified personnel within the secondary education sector across Philippines Manila. The primary objective of this initiative is to ensure that every student in the capital region receives high-quality instruction through a robust system of Teacher Secondary assignments. Given that Philippines Manila serves as the political and cultural hub of the country, educational outcomes here have significant national implications.</w:t>
      </w:r>
    </w:p>
    <w:p>
      <w:pPr>
        <w:pStyle w:val="BodyText"/>
      </w:pPr>
      <w:r>
        <w:t xml:space="preserve">The report highlights critical gaps in resource allocation, teacher-student ratios, and pedagogical training specifically tailored for diverse urban learning environments. By focusing on the unique context of Teacher Secondary roles within Philippines Manila, this document aims to provide actionable recommendations for enhancing academic performance and institutional efficiency.</w:t>
      </w:r>
    </w:p>
    <w:bookmarkEnd w:id="20"/>
    <w:bookmarkStart w:id="21" w:name="background-and-context"/>
    <w:p>
      <w:pPr>
        <w:pStyle w:val="Heading2"/>
      </w:pPr>
      <w:r>
        <w:t xml:space="preserve">2. Background and Context</w:t>
      </w:r>
    </w:p>
    <w:p>
      <w:pPr>
        <w:pStyle w:val="FirstParagraph"/>
      </w:pPr>
      <w:r>
        <w:t xml:space="preserve">The educational landscape in Philippines Manila is characterized by high population density, socioeconomic diversity, and varying levels of infrastructure readiness. The term "Teacher Secondary" refers specifically to educators responsible for grades seven through twelve (Junior High School and Senior High School). In the context of Philippines Manila, these teachers operate under immense pressure due to overcrowded classrooms and limited physical space.</w:t>
      </w:r>
    </w:p>
    <w:p>
      <w:pPr>
        <w:pStyle w:val="BodyText"/>
      </w:pPr>
      <w:r>
        <w:t xml:space="preserve">Recent data indicates that while enrollment rates in secondary education have stabilized, retention rates remain a concern. The specific designation of Teacher Secondary positions requires not only subject matter expertise but also strong classroom management skills capable of addressing the psychosocial needs of students in an urban metropolitan setting. Understanding the local dynamics of Philippines Manila is crucial for effective policy formulation and resource distribution.</w:t>
      </w:r>
    </w:p>
    <w:bookmarkEnd w:id="21"/>
    <w:bookmarkStart w:id="24" w:name="current-operational-status"/>
    <w:p>
      <w:pPr>
        <w:pStyle w:val="Heading2"/>
      </w:pPr>
      <w:r>
        <w:t xml:space="preserve">3. Current Operational Status</w:t>
      </w:r>
    </w:p>
    <w:bookmarkStart w:id="22" w:name="staffing-levels-and-distribution"/>
    <w:p>
      <w:pPr>
        <w:pStyle w:val="Heading3"/>
      </w:pPr>
      <w:r>
        <w:t xml:space="preserve">3.1 Staffing Levels and Distribution</w:t>
      </w:r>
    </w:p>
    <w:p>
      <w:pPr>
        <w:pStyle w:val="FirstParagraph"/>
      </w:pPr>
      <w:r>
        <w:t xml:space="preserve">An audit conducted in Q3 2023 revealed a discrepancy between the planned number of Teacher Secondary positions and the actual filled vacancies across various districts in Philippines Manila. Key findings include:</w:t>
      </w:r>
    </w:p>
    <w:p>
      <w:pPr>
        <w:numPr>
          <w:ilvl w:val="0"/>
          <w:numId w:val="1001"/>
        </w:numPr>
        <w:pStyle w:val="Compact"/>
      </w:pPr>
      <w:r>
        <w:rPr>
          <w:bCs/>
          <w:b/>
        </w:rPr>
        <w:t xml:space="preserve">Districts 1 &amp; 2 (Intramuros, Santa Ana):</w:t>
      </w:r>
      <w:r>
        <w:t xml:space="preserve"> </w:t>
      </w:r>
      <w:r>
        <w:t xml:space="preserve">High vacancy rates in STEM subjects due to competitive salary expectations elsewhere.</w:t>
      </w:r>
    </w:p>
    <w:p>
      <w:pPr>
        <w:numPr>
          <w:ilvl w:val="0"/>
          <w:numId w:val="1001"/>
        </w:numPr>
        <w:pStyle w:val="Compact"/>
      </w:pPr>
      <w:r>
        <w:t xml:space="preserve">Districts 3 &amp;4 (Sampaloc, San Nicolas):Adequate staffing but high turnover rates among junior teachers.</w:t>
      </w:r>
    </w:p>
    <w:p>
      <w:pPr>
        <w:numPr>
          <w:ilvl w:val="0"/>
          <w:numId w:val="1001"/>
        </w:numPr>
        <w:pStyle w:val="Compact"/>
      </w:pPr>
      <w:r>
        <w:rPr>
          <w:bCs/>
          <w:b/>
        </w:rPr>
        <w:t xml:space="preserve">Districts 5 &amp;6 (Ermita, Malate):</w:t>
      </w:r>
      <w:r>
        <w:t xml:space="preserve">Critical shortage of Special Education teachers integrated into secondary curricula.</w:t>
      </w:r>
    </w:p>
    <w:bookmarkEnd w:id="22"/>
    <w:bookmarkStart w:id="23" w:name="infrastructure-and-support-systems"/>
    <w:p>
      <w:pPr>
        <w:pStyle w:val="Heading3"/>
      </w:pPr>
      <w:r>
        <w:t xml:space="preserve">3.2 Infrastructure and Support Systems</w:t>
      </w:r>
    </w:p>
    <w:p>
      <w:pPr>
        <w:pStyle w:val="FirstParagraph"/>
      </w:pPr>
      <w:r>
        <w:t xml:space="preserve">In Philippines Manila, many secondary schools operate in repurposed buildings that lack modern laboratory facilities. This impacts the effectiveness of Teacher Secondary personnel, particularly those teaching Science and Technology subjects. The Project Report notes that 40% of schools lack adequate ventilation or digital connectivity required for modern pedagogical methods.</w:t>
      </w:r>
    </w:p>
    <w:bookmarkEnd w:id="23"/>
    <w:bookmarkEnd w:id="24"/>
    <w:bookmarkStart w:id="25" w:name="key-challenges-identified"/>
    <w:p>
      <w:pPr>
        <w:pStyle w:val="Heading2"/>
      </w:pPr>
      <w:r>
        <w:t xml:space="preserve">4. Key Challenges Identified</w:t>
      </w:r>
    </w:p>
    <w:p>
      <w:pPr>
        <w:pStyle w:val="FirstParagraph"/>
      </w:pPr>
      <w:r>
        <w:t xml:space="preserve">The implementation of effective secondary education programs in Philippines Manila faces several structural and systemic hurdles:</w:t>
      </w:r>
    </w:p>
    <w:p>
      <w:pPr>
        <w:numPr>
          <w:ilvl w:val="0"/>
          <w:numId w:val="1002"/>
        </w:numPr>
        <w:pStyle w:val="Compact"/>
      </w:pPr>
      <w:r>
        <w:rPr>
          <w:bCs/>
          <w:b/>
        </w:rPr>
        <w:t xml:space="preserve">Pedagogical Mismatch:</w:t>
      </w:r>
      <w:r>
        <w:t xml:space="preserve">A significant portion of assigned Teacher Secondary personnel are trained in rural educational models, which may not adequately address the complexities of urban learning environments found in Philippines Manila.</w:t>
      </w:r>
    </w:p>
    <w:p>
      <w:pPr>
        <w:numPr>
          <w:ilvl w:val="0"/>
          <w:numId w:val="1002"/>
        </w:numPr>
        <w:pStyle w:val="Compact"/>
      </w:pPr>
      <w:r>
        <w:t xml:space="preserve">Resource Scarcity:Limited access to updated textbooks and digital tools hampers the ability of teachers to deliver contemporary content. In a city as dynamic as Philippines Manila, curricula must reflect current global standards.</w:t>
      </w:r>
    </w:p>
    <w:p>
      <w:pPr>
        <w:numPr>
          <w:ilvl w:val="0"/>
          <w:numId w:val="1002"/>
        </w:numPr>
        <w:pStyle w:val="Compact"/>
      </w:pPr>
      <w:r>
        <w:rPr>
          <w:bCs/>
          <w:b/>
        </w:rPr>
        <w:t xml:space="preserve">Burnout and Retention:</w:t>
      </w:r>
      <w:r>
        <w:t xml:space="preserve">The high cost of living in Philippines Manila contributes to financial stress among educators. Combined with heavy workloads, this leads to professional burnout, resulting in the frequent departure of experienced Teacher Secondary staff.</w:t>
      </w:r>
    </w:p>
    <w:p>
      <w:pPr>
        <w:numPr>
          <w:ilvl w:val="0"/>
          <w:numId w:val="1002"/>
        </w:numPr>
        <w:pStyle w:val="Compact"/>
      </w:pPr>
      <w:r>
        <w:t xml:space="preserve">Logistical Constraints:Traffic congestion within the city affects teacher punctuality and student attendance. Flexible scheduling models are rarely implemented despite their necessity in Philippines Manila.</w:t>
      </w:r>
    </w:p>
    <w:bookmarkEnd w:id="25"/>
    <w:bookmarkStart w:id="29" w:name="strategic-recommendations"/>
    <w:p>
      <w:pPr>
        <w:pStyle w:val="Heading2"/>
      </w:pPr>
      <w:r>
        <w:t xml:space="preserve">5. Strategic Recommendations</w:t>
      </w:r>
    </w:p>
    <w:p>
      <w:pPr>
        <w:pStyle w:val="FirstParagraph"/>
      </w:pPr>
      <w:r>
        <w:t xml:space="preserve">To address the issues outlined above, this Project Report proposes a multi-faceted approach focused on strengthening the Teacher Secondary framework within Philippines Manila:</w:t>
      </w:r>
    </w:p>
    <w:bookmarkStart w:id="26" w:name="X7f24765b44175ff5fed672379d869cb5ff81600"/>
    <w:p>
      <w:pPr>
        <w:pStyle w:val="Heading3"/>
      </w:pPr>
      <w:r>
        <w:t xml:space="preserve">5.1 Enhanced Recruitment and Incentive Structures</w:t>
      </w:r>
    </w:p>
    <w:p>
      <w:pPr>
        <w:pStyle w:val="FirstParagraph"/>
      </w:pPr>
      <w:r>
        <w:t xml:space="preserve">We recommend introducing location-based hazard pay or urban living allowances specifically for Teacher Secondary personnel assigned to high-density areas in Philippines Manila. This financial incentive should be tied to retention agreements of at least three years.</w:t>
      </w:r>
    </w:p>
    <w:bookmarkEnd w:id="26"/>
    <w:bookmarkStart w:id="27" w:name="professional-development-and-training"/>
    <w:p>
      <w:pPr>
        <w:pStyle w:val="Heading3"/>
      </w:pPr>
      <w:r>
        <w:t xml:space="preserve">5.2 Professional Development and Training</w:t>
      </w:r>
    </w:p>
    <w:p>
      <w:pPr>
        <w:pStyle w:val="FirstParagraph"/>
      </w:pPr>
      <w:r>
        <w:t xml:space="preserve">Mandatory training modules focused on "Urban Pedagogy" should be integrated into the continuing professional development (CPD) requirements for all Teacher Secondary staff. These modules will cover trauma-informed teaching, large-classroom management, and culturally responsive curriculum adaptation specific to the demographics of Philippines Manila.</w:t>
      </w:r>
    </w:p>
    <w:bookmarkEnd w:id="27"/>
    <w:bookmarkStart w:id="28" w:name="infrastructure-modernization"/>
    <w:p>
      <w:pPr>
        <w:pStyle w:val="Heading3"/>
      </w:pPr>
      <w:r>
        <w:t xml:space="preserve">5.3 Infrastructure Modernization</w:t>
      </w:r>
    </w:p>
    <w:p>
      <w:pPr>
        <w:pStyle w:val="FirstParagraph"/>
      </w:pPr>
      <w:r>
        <w:t xml:space="preserve">A capital improvement fund should be established to renovate aging school facilities in Philippines Manila. Prioritization should be given to science labs, computer rooms, and safe learning spaces that empower Teacher Secondary personnel to utilize hands-on teaching methods.</w:t>
      </w:r>
    </w:p>
    <w:bookmarkEnd w:id="28"/>
    <w:bookmarkEnd w:id="29"/>
    <w:bookmarkStart w:id="30" w:name="monitoring-and-evaluation-framework"/>
    <w:p>
      <w:pPr>
        <w:pStyle w:val="Heading2"/>
      </w:pPr>
      <w:r>
        <w:t xml:space="preserve">6. Monitoring and Evaluation Framework</w:t>
      </w:r>
    </w:p>
    <w:p>
      <w:pPr>
        <w:pStyle w:val="FirstParagraph"/>
      </w:pPr>
      <w:r>
        <w:t xml:space="preserve">To ensure accountability, a new set of Key Performance Indicators (KPIs) will be established for evaluating the success of secondary education initiatives in Philippines Manila:</w:t>
      </w:r>
    </w:p>
    <w:p>
      <w:pPr>
        <w:pStyle w:val="BodyText"/>
      </w:pPr>
      <w:r>
        <w:rPr>
          <w:bCs/>
          <w:b/>
        </w:rPr>
        <w:t xml:space="preserve">KPI Category</w:t>
      </w:r>
    </w:p>
    <w:p>
      <w:pPr>
        <w:pStyle w:val="BodyText"/>
      </w:pPr>
      <w:r>
        <w:rPr>
          <w:bCs/>
          <w:b/>
        </w:rPr>
        <w:t xml:space="preserve">Metric</w:t>
      </w:r>
    </w:p>
    <w:p>
      <w:pPr>
        <w:pStyle w:val="BodyText"/>
      </w:pPr>
      <w:r>
        <w:t xml:space="preserve">Target (Annual)</w:t>
      </w:r>
    </w:p>
    <w:p>
      <w:pPr>
        <w:pStyle w:val="BodyText"/>
      </w:pPr>
      <w:r>
        <w:t xml:space="preserve">td style =" border :1 px solid #ddd ;" &gt;&lt; strong &gt;Student Achievement /td / td style =" border :1 px solid #ddd ;" &gt;(Average Grade Point Increase in Core Subjects )/td / td style =" border :1 px solid #ddd ;"&gt;5%/td / tr &gt;</w:t>
      </w:r>
    </w:p>
    <w:p>
      <w:pPr>
        <w:pStyle w:val="BodyText"/>
      </w:pPr>
      <w:r>
        <w:t xml:space="preserve">Teacher Retention</w:t>
      </w:r>
    </w:p>
    <w:p>
      <w:pPr>
        <w:pStyle w:val="BodyText"/>
      </w:pPr>
      <w:r>
        <w:t xml:space="preserve">(Percentage of Teacher Secondary Staff remaining beyond Year 3)</w:t>
      </w:r>
    </w:p>
    <w:p>
      <w:pPr>
        <w:pStyle w:val="BodyText"/>
      </w:pPr>
      <w:r>
        <w:t xml:space="preserve">TD STYLE = " BORDER:1 PX SOLID #DDD;" &gt;&lt; B &gt;80 %/b &gt;/TD / TR &gt;</w:t>
      </w:r>
    </w:p>
    <w:p>
      <w:pPr>
        <w:pStyle w:val="BodyText"/>
      </w:pPr>
      <w:r>
        <w:t xml:space="preserve">td style =" border :1 px solid #ddd ;" &gt;(School Infrastructure Readiness Index )/td / td style =" border :1 px solid #ddd ;"&gt;95%/td / tr&gt;</w:t>
      </w:r>
    </w:p>
    <w:bookmarkEnd w:id="30"/>
    <w:bookmarkStart w:id="31" w:name="conclusion"/>
    <w:p>
      <w:pPr>
        <w:pStyle w:val="Heading2"/>
      </w:pPr>
      <w:r>
        <w:t xml:space="preserve">7. Conclusion</w:t>
      </w:r>
    </w:p>
    <w:p>
      <w:pPr>
        <w:pStyle w:val="FirstParagraph"/>
      </w:pPr>
      <w:r>
        <w:t xml:space="preserve">The success of the education system in Philippines Manila is inextricably linked to the quality and stability of its teaching workforce. This Project Report underscores that addressing the specific needs of Teacher Secondary personnel is not merely an administrative task but a strategic imperative for national development.</w:t>
      </w:r>
    </w:p>
    <w:p>
      <w:pPr>
        <w:pStyle w:val="BodyText"/>
      </w:pPr>
      <w:r>
        <w:t xml:space="preserve">By implementing targeted incentives, rigorous training programs, and infrastructure upgrades, stakeholders can create a supportive environment that allows educators to thrive in Philippines Manila. The recommendations provided herein serve as a blueprint for sustainable improvement. It is recommended that the Department of Education immediate convene a task force to review these findings and initiate pilot programs in District 1 and District 3 within the next quarter.</w:t>
      </w:r>
    </w:p>
    <w:p>
      <w:pPr>
        <w:pStyle w:val="BodyText"/>
      </w:pPr>
      <w:r>
        <w:t xml:space="preserve">Ultimately, investing in Teacher Secondary education in Philippines Manila will yield significant long-term benefits, fostering a generation of skilled, resilient, and knowledgeable citizens capable of meeting the demands of the modern world.</w:t>
      </w:r>
    </w:p>
    <w:p>
      <w:pPr>
        <w:pStyle w:val="BodyText"/>
      </w:pPr>
      <w:r>
        <w:br/>
      </w:r>
    </w:p>
    <w:p>
      <w:r>
        <w:pict>
          <v:rect style="width:0;height:1.5pt" o:hralign="center" o:hrstd="t" o:hr="t"/>
        </w:pict>
      </w:r>
    </w:p>
    <w:p>
      <w:pPr>
        <w:pStyle w:val="FirstParagraph"/>
      </w:pPr>
      <w:r>
        <w:rPr>
          <w:iCs/>
          <w:i/>
        </w:rPr>
        <w:t xml:space="preserve">This document was generated for internal review purposes. All data cited is based on Q3 2023 operational audits.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Secondary Education Implementation in Philippines Manila</dc:title>
  <dc:creator/>
  <dc:language>en</dc:language>
  <cp:keywords/>
  <dcterms:created xsi:type="dcterms:W3CDTF">2026-07-29T11:17:53Z</dcterms:created>
  <dcterms:modified xsi:type="dcterms:W3CDTF">2026-07-29T11:17:53Z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