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Education and Science, Russian Federation</w:t>
      </w:r>
    </w:p>
    <w:p>
      <w:pPr>
        <w:pStyle w:val="BodyText"/>
      </w:pPr>
      <w:r>
        <w:rPr>
          <w:bCs/>
          <w:b/>
        </w:rPr>
        <w:t xml:space="preserve">From:National Educational Development Task Force</w:t>
      </w:r>
    </w:p>
    <w:p>
      <w:pPr>
        <w:pStyle w:val="BodyText"/>
      </w:pPr>
      <w:r>
        <w:t xml:space="preserve">&lt; Strong &gt; Subject : Comprehensive Project Report on the Integration and Optimization of Teacher Secondary Programs in Russia Moscow</w:t>
      </w:r>
    </w:p>
    <w:bookmarkStart w:id="33" w:name="X1d084dfab4f088da702e575411507485ce5bb28"/>
    <w:p>
      <w:pPr>
        <w:pStyle w:val="Heading1"/>
      </w:pPr>
      <w:r>
        <w:t xml:space="preserve">Project Report: Teacher Secondary Education Strategy for Russia Moscow</w:t>
      </w:r>
    </w:p>
    <w:bookmarkStart w:id="20" w:name="executive-summary"/>
    <w:p>
      <w:pPr>
        <w:pStyle w:val="Heading2"/>
      </w:pPr>
      <w:r>
        <w:t xml:space="preserve">1. Executive Summary</w:t>
      </w:r>
    </w:p>
    <w:p>
      <w:pPr>
        <w:pStyle w:val="FirstParagraph"/>
      </w:pPr>
      <w:r>
        <w:t xml:space="preserve">This Project Report outlines a strategic framework aimed at elevating the standards of secondary education teaching within the dynamic urban environment of Russia Moscow. As the capital city serves as both an administrative hub and a cultural epicenter, the demand for high-quality pedagogy is unprecedented. This document details the objectives, methodologies, and expected outcomes of enhancing teacher training modules specifically tailored to meet contemporary educational challenges in Russia Moscow.</w:t>
      </w:r>
    </w:p>
    <w:bookmarkEnd w:id="20"/>
    <w:bookmarkStart w:id="21" w:name="introduction"/>
    <w:p>
      <w:pPr>
        <w:pStyle w:val="Heading2"/>
      </w:pPr>
      <w:r>
        <w:t xml:space="preserve">2. Introduction</w:t>
      </w:r>
    </w:p>
    <w:p>
      <w:pPr>
        <w:pStyle w:val="FirstParagraph"/>
      </w:pPr>
      <w:r>
        <w:t xml:space="preserve">The role of a Teacher Secondary educator extends beyond mere knowledge transmission; it involves fostering critical thinking, civic responsibility, and academic excellence. In the context of Russia Moscow, where schools often face high student-to-teacher ratios and diverse socioeconomic backgrounds among students, the preparation of secondary teachers is pivotal. This Project Report seeks to address the gaps in current training methodologies by introducing a robust framework that combines traditional pedagogical theory with modern technological integration.</w:t>
      </w:r>
    </w:p>
    <w:bookmarkEnd w:id="21"/>
    <w:bookmarkStart w:id="22" w:name="objectives"/>
    <w:p>
      <w:pPr>
        <w:pStyle w:val="Heading2"/>
      </w:pPr>
      <w:r>
        <w:t xml:space="preserve">3. Objectives</w:t>
      </w:r>
    </w:p>
    <w:p>
      <w:pPr>
        <w:pStyle w:val="FirstParagraph"/>
      </w:pPr>
      <w:r>
        <w:t xml:space="preserve">The primary objectives of this initiative regarding Teacher Secondary education in Russia Moscow are as follows:</w:t>
      </w:r>
    </w:p>
    <w:p>
      <w:pPr>
        <w:numPr>
          <w:ilvl w:val="0"/>
          <w:numId w:val="1001"/>
        </w:numPr>
        <w:pStyle w:val="Compact"/>
      </w:pPr>
      <w:r>
        <w:t xml:space="preserve">To standardize the competencies required for secondary school teachers to meet international benchmarks while respecting local cultural nuances.</w:t>
      </w:r>
    </w:p>
    <w:p>
      <w:pPr>
        <w:numPr>
          <w:ilvl w:val="0"/>
          <w:numId w:val="1001"/>
        </w:numPr>
        <w:pStyle w:val="Compact"/>
      </w:pPr>
      <w:r>
        <w:t xml:space="preserve">To integrate digital literacy tools into the curriculum, ensuring that educators in Russia Moscow are proficient in using educational technology (EdTech) to enhance student engagement.</w:t>
      </w:r>
    </w:p>
    <w:p>
      <w:pPr>
        <w:numPr>
          <w:ilvl w:val="0"/>
          <w:numId w:val="1001"/>
        </w:numPr>
        <w:pStyle w:val="Compact"/>
      </w:pPr>
      <w:r>
        <w:t xml:space="preserve">To promote inclusive education practices that cater to the diverse linguistic and cultural demographics prevalent in Moscow’s school districts.</w:t>
      </w:r>
    </w:p>
    <w:p>
      <w:pPr>
        <w:numPr>
          <w:ilvl w:val="0"/>
          <w:numId w:val="1001"/>
        </w:numPr>
        <w:pStyle w:val="Compact"/>
      </w:pPr>
      <w:r>
        <w:t xml:space="preserve">To establish a continuous professional development loop for Teacher Secondary staff, ensuring they remain updated with global educational trends.</w:t>
      </w:r>
    </w:p>
    <w:bookmarkEnd w:id="22"/>
    <w:bookmarkStart w:id="23" w:name="current-landscape-analysis"/>
    <w:p>
      <w:pPr>
        <w:pStyle w:val="Heading2"/>
      </w:pPr>
      <w:r>
        <w:t xml:space="preserve">4. Current Landscape Analysis</w:t>
      </w:r>
    </w:p>
    <w:p>
      <w:pPr>
        <w:pStyle w:val="FirstParagraph"/>
      </w:pPr>
      <w:r>
        <w:t xml:space="preserve">An analysis of the current state of education in Russia Moscow reveals several key challenges. Firstly, there is a significant disparity in resource allocation between schools located within the central administrative districts and those on the outskirts. Secondly, while theoretical knowledge among Teacher Secondary candidates is often strong, practical classroom management skills and adaptive teaching strategies require further refinement. Furthermore, the rapid pace of technological advancement requires educators to constantly update their skill sets to remain relevant in a digital-first educational landscape.</w:t>
      </w:r>
    </w:p>
    <w:bookmarkEnd w:id="23"/>
    <w:bookmarkStart w:id="27" w:name="strategic-framework-for-improvement"/>
    <w:p>
      <w:pPr>
        <w:pStyle w:val="Heading2"/>
      </w:pPr>
      <w:r>
        <w:t xml:space="preserve">5. Strategic Framework for Improvement</w:t>
      </w:r>
    </w:p>
    <w:bookmarkStart w:id="24" w:name="curriculum-overhaul"/>
    <w:p>
      <w:pPr>
        <w:pStyle w:val="Heading3"/>
      </w:pPr>
      <w:r>
        <w:t xml:space="preserve">5.1 Curriculum Overhaul</w:t>
      </w:r>
    </w:p>
    <w:p>
      <w:pPr>
        <w:pStyle w:val="FirstParagraph"/>
      </w:pPr>
      <w:r>
        <w:t xml:space="preserve">The core of this Project Report focuses on revising the Teacher Secondary curriculum. This involves shifting from rote memorization techniques to competency-based learning modules. The new framework will emphasize interdisciplinary approaches, encouraging teachers in Russia Moscow to connect subjects such as mathematics, science, and humanities in real-world contexts.</w:t>
      </w:r>
    </w:p>
    <w:bookmarkEnd w:id="24"/>
    <w:bookmarkStart w:id="25" w:name="digital-integration"/>
    <w:p>
      <w:pPr>
        <w:pStyle w:val="Heading3"/>
      </w:pPr>
      <w:r>
        <w:t xml:space="preserve">5.2 Digital Integration</w:t>
      </w:r>
    </w:p>
    <w:p>
      <w:pPr>
        <w:pStyle w:val="FirstParagraph"/>
      </w:pPr>
      <w:r>
        <w:t xml:space="preserve">A critical component of this strategy is the implementation of comprehensive digital training programs. Teachers must be equipped to utilize Learning Management Systems (LMS), virtual reality tools for historical and scientific simulations, and data analytics platforms to track student progress. This ensures that every Teacher Secondary professional in Russia Moscow can leverage technology to personalize learning experiences.</w:t>
      </w:r>
    </w:p>
    <w:bookmarkEnd w:id="25"/>
    <w:bookmarkStart w:id="26" w:name="mentorship-and-peer-review"/>
    <w:p>
      <w:pPr>
        <w:pStyle w:val="Heading3"/>
      </w:pPr>
      <w:r>
        <w:t xml:space="preserve">5.3 Mentorship and Peer Review</w:t>
      </w:r>
    </w:p>
    <w:p>
      <w:pPr>
        <w:pStyle w:val="FirstParagraph"/>
      </w:pPr>
      <w:r>
        <w:t xml:space="preserve">To foster a culture of continuous improvement, a mentorship program will be established connecting novice teachers with experienced educators within the Russia Moscow district. This peer-review mechanism allows for real-time feedback and collaborative problem-solving, addressing specific challenges faced in urban classrooms.</w:t>
      </w:r>
    </w:p>
    <w:bookmarkEnd w:id="26"/>
    <w:bookmarkEnd w:id="27"/>
    <w:bookmarkStart w:id="28" w:name="implementation-plan"/>
    <w:p>
      <w:pPr>
        <w:pStyle w:val="Heading2"/>
      </w:pPr>
      <w:r>
        <w:t xml:space="preserve">6. Implementation Plan</w:t>
      </w:r>
    </w:p>
    <w:p>
      <w:pPr>
        <w:pStyle w:val="FirstParagraph"/>
      </w:pPr>
      <w:r>
        <w:t xml:space="preserve">The implementation of these strategies will occur in three phases over a twenty-four-month period:</w:t>
      </w:r>
    </w:p>
    <w:p>
      <w:pPr>
        <w:numPr>
          <w:ilvl w:val="0"/>
          <w:numId w:val="1002"/>
        </w:numPr>
        <w:pStyle w:val="Compact"/>
      </w:pPr>
      <w:r>
        <w:rPr>
          <w:bCs/>
          <w:b/>
        </w:rPr>
        <w:t xml:space="preserve">Phase 1 (Months 1-6):</w:t>
      </w:r>
      <w:r>
        <w:t xml:space="preserve">Pilot testing of the new curriculum in select schools across Russia Moscow. Feedback loops will be established to refine materials based on teacher and student input.</w:t>
      </w:r>
    </w:p>
    <w:p>
      <w:pPr>
        <w:numPr>
          <w:ilvl w:val="0"/>
          <w:numId w:val="1002"/>
        </w:numPr>
        <w:pStyle w:val="Compact"/>
      </w:pPr>
      <w:r>
        <w:t xml:space="preserve">Phase 2 (Months 7-18):Rolling out the updated Teacher Secondary training modules to all colleges and universities preparing educators for secondary education in the region. This phase includes workshops on EdTech integration.</w:t>
      </w:r>
    </w:p>
    <w:p>
      <w:pPr>
        <w:numPr>
          <w:ilvl w:val="0"/>
          <w:numId w:val="1002"/>
        </w:numPr>
        <w:pStyle w:val="Compact"/>
      </w:pPr>
      <w:r>
        <w:t xml:space="preserve">Phase 3 (Months 19-24): Full-scale adoption across all schools in Russia Moscow, accompanied by a comprehensive assessment of teacher performance and student outcomes.</w:t>
      </w:r>
    </w:p>
    <w:bookmarkEnd w:id="28"/>
    <w:bookmarkStart w:id="29" w:name="expected-outcomes"/>
    <w:p>
      <w:pPr>
        <w:pStyle w:val="Heading2"/>
      </w:pPr>
      <w:r>
        <w:t xml:space="preserve">7. Expected Outcomes</w:t>
      </w:r>
    </w:p>
    <w:p>
      <w:pPr>
        <w:pStyle w:val="FirstParagraph"/>
      </w:pPr>
      <w:r>
        <w:t xml:space="preserve">The successful execution of this Project Report is anticipated to yield several measurable benefits. First, there should be a noticeable increase in standardized test scores and overall academic performance among secondary students in Russia Moscow. Second, teacher retention rates are expected to improve due to enhanced professional support and clearer career progression paths within the Teacher Secondary framework.</w:t>
      </w:r>
    </w:p>
    <w:p>
      <w:pPr>
        <w:pStyle w:val="BodyText"/>
      </w:pPr>
      <w:r>
        <w:t xml:space="preserve">Additionally, the integration of digital tools will lead to more efficient administrative processes, allowing teachers to spend more time on direct instruction and student interaction. The ultimate goal is to create an educational ecosystem in Russia Moscow that is resilient, innovative, and capable of producing globally competitive graduates.</w:t>
      </w:r>
    </w:p>
    <w:bookmarkEnd w:id="29"/>
    <w:bookmarkStart w:id="30" w:name="challenges-and-risk-management"/>
    <w:p>
      <w:pPr>
        <w:pStyle w:val="Heading2"/>
      </w:pPr>
      <w:r>
        <w:t xml:space="preserve">8. Challenges and Risk Management</w:t>
      </w:r>
    </w:p>
    <w:p>
      <w:pPr>
        <w:pStyle w:val="FirstParagraph"/>
      </w:pPr>
      <w:r>
        <w:t xml:space="preserve">Acknowledging the complexities inherent in large-scale educational reform, this Project Report identifies potential risks. These include resistance to change among veteran educators and budget constraints for technology procurement. To mitigate these risks, we propose a communication campaign highlighting the long-term benefits of these changes for both teachers and students. Furthermore, partnerships with private sector tech companies will be sought to subsidize hardware costs.</w:t>
      </w:r>
    </w:p>
    <w:bookmarkEnd w:id="30"/>
    <w:bookmarkStart w:id="31" w:name="conclusion"/>
    <w:p>
      <w:pPr>
        <w:pStyle w:val="Heading2"/>
      </w:pPr>
      <w:r>
        <w:t xml:space="preserve">9. Conclusion</w:t>
      </w:r>
    </w:p>
    <w:p>
      <w:pPr>
        <w:pStyle w:val="FirstParagraph"/>
      </w:pPr>
      <w:r>
        <w:t xml:space="preserve">In conclusion, this Project Report underscores the critical need for a revitalized approach to Teacher Secondary education specifically tailored for the unique context of Russia Moscow. By focusing on competency-based training, digital integration, and continuous professional development, we can ensure that the educators shaping the minds of tomorrow’s leaders are fully equipped with the necessary tools and knowledge. The proposed strategies represent a significant step toward modernizing the educational landscape in Russia Moscow, ensuring it meets both national standards and global expectations.</w:t>
      </w:r>
    </w:p>
    <w:bookmarkEnd w:id="31"/>
    <w:bookmarkStart w:id="32" w:name="recommendations"/>
    <w:p>
      <w:pPr>
        <w:pStyle w:val="Heading2"/>
      </w:pPr>
      <w:r>
        <w:t xml:space="preserve">10. Recommendations</w:t>
      </w:r>
    </w:p>
    <w:p>
      <w:pPr>
        <w:pStyle w:val="FirstParagraph"/>
      </w:pPr>
      <w:r>
        <w:t xml:space="preserve">It is recommended that immediate funding be allocated for Phase 1 of the implementation plan. Stakeholders, including local school boards, university faculties, and government officials in Russia Moscow, must collaborate closely to ensure seamless execution. Regular monitoring and evaluation metrics should be established to track the progress of each Teacher Secondary initiative detailed in this document.</w:t>
      </w:r>
    </w:p>
    <w:p>
      <w:pPr>
        <w:pStyle w:val="BodyText"/>
      </w:pPr>
      <w:r>
        <w:t xml:space="preserve">End of Project Report | Prepared for Official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Education in Russia Moscow</dc:title>
  <dc:creator/>
  <dc:language>en</dc:language>
  <cp:keywords/>
  <dcterms:created xsi:type="dcterms:W3CDTF">2026-07-29T06:59:34Z</dcterms:created>
  <dcterms:modified xsi:type="dcterms:W3CDTF">2026-07-29T06:59:34Z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