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Implementation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1b9c14398fb1531f872df996bf231c9d42b822d"/>
    <w:p>
      <w:pPr>
        <w:pStyle w:val="Heading1"/>
      </w:pPr>
      <w:r>
        <w:t xml:space="preserve">Project Report: Teacher Secondary Implementation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Science of the Russian Federation / Regional Administration of Saint Petersburg</w:t>
      </w:r>
      <w:r>
        <w:br/>
      </w:r>
      <w:r>
        <w:rPr>
          <w:bCs/>
          <w:b/>
        </w:rPr>
        <w:t xml:space="preserve">From:</w:t>
      </w:r>
      <w:r>
        <w:t xml:space="preserve"> </w:t>
      </w:r>
      <w:r>
        <w:t xml:space="preserve">Strategic Planning Committee on Educational Development</w:t>
      </w:r>
      <w:r>
        <w:br/>
      </w:r>
    </w:p>
    <w:p>
      <w:pPr>
        <w:pStyle w:val="BodyText"/>
      </w:pPr>
      <w:r>
        <w:rPr>
          <w:bCs/>
          <w:b/>
        </w:rPr>
        <w:t xml:space="preserve">Executive Summary:</w:t>
      </w:r>
      <w:r>
        <w:t xml:space="preserve"> </w:t>
      </w:r>
      <w:r>
        <w:t xml:space="preserve">This report outlines a strategic framework for the modernization and professional development of secondary school teachers within the specific cultural and educational landscape of Russia Saint Petersburg. By focusing on innovative pedagogical methods, digital integration, and psychological support systems, this initiative aims to elevate the quality of secondary education in one of Russia’s most historically significant academic hubs.</w:t>
      </w:r>
    </w:p>
    <w:bookmarkStart w:id="20" w:name="introduction-and-contextual-analysis"/>
    <w:p>
      <w:pPr>
        <w:pStyle w:val="Heading2"/>
      </w:pPr>
      <w:r>
        <w:t xml:space="preserve">1. Introduction and Contextual Analysis</w:t>
      </w:r>
    </w:p>
    <w:p>
      <w:pPr>
        <w:pStyle w:val="FirstParagraph"/>
      </w:pPr>
      <w:r>
        <w:t xml:space="preserve">The educational ecosystem in</w:t>
      </w:r>
      <w:r>
        <w:t xml:space="preserve"> </w:t>
      </w:r>
      <w:r>
        <w:rPr>
          <w:bCs/>
          <w:b/>
        </w:rPr>
        <w:t xml:space="preserve">Russia Saint Petersburg</w:t>
      </w:r>
      <w:r>
        <w:t xml:space="preserve"> </w:t>
      </w:r>
      <w:r>
        <w:t xml:space="preserve">is characterized by a unique blend of rigorous academic tradition and rapid modernization. As the cultural capital of the Russian Federation, Saint Petersburg hosts some of the nation’s most prestigious universities and secondary institutions. However, this prestige comes with high expectations from parents, students, and state regulators alike. The primary objective of this</w:t>
      </w:r>
      <w:r>
        <w:t xml:space="preserve"> </w:t>
      </w:r>
      <w:r>
        <w:rPr>
          <w:bCs/>
          <w:b/>
        </w:rPr>
        <w:t xml:space="preserve">Project Report</w:t>
      </w:r>
      <w:r>
        <w:t xml:space="preserve"> </w:t>
      </w:r>
      <w:r>
        <w:t xml:space="preserve">is to address the evolving needs of educators in this region.</w:t>
      </w:r>
    </w:p>
    <w:p>
      <w:pPr>
        <w:pStyle w:val="BodyText"/>
      </w:pPr>
      <w:r>
        <w:t xml:space="preserve">In recent years, the demand for a new breed of educator has grown exponentially. The traditional lecture-based model is no longer sufficient to engage digital-native students. Consequently, the focus shifts toward transforming every</w:t>
      </w:r>
      <w:r>
        <w:t xml:space="preserve"> </w:t>
      </w:r>
      <w:r>
        <w:rPr>
          <w:bCs/>
          <w:b/>
        </w:rPr>
        <w:t xml:space="preserve">Teacher Secondary</w:t>
      </w:r>
      <w:r>
        <w:t xml:space="preserve"> </w:t>
      </w:r>
      <w:r>
        <w:t xml:space="preserve">into a facilitator of learning, critical thinker instiller, and mentor. This transition is not merely about curriculum updates but involves a fundamental shift in pedagogical philosophy tailored to the specific sociocultural environment of</w:t>
      </w:r>
      <w:r>
        <w:t xml:space="preserve"> </w:t>
      </w:r>
      <w:r>
        <w:rPr>
          <w:bCs/>
          <w:b/>
        </w:rPr>
        <w:t xml:space="preserve">Russia Saint Petersburg</w:t>
      </w:r>
      <w:r>
        <w:t xml:space="preserve">.</w:t>
      </w:r>
    </w:p>
    <w:bookmarkEnd w:id="20"/>
    <w:bookmarkStart w:id="21" w:name="X23f1afa6c34bf1da38781979e7c11da9f94096a"/>
    <w:p>
      <w:pPr>
        <w:pStyle w:val="Heading2"/>
      </w:pPr>
      <w:r>
        <w:t xml:space="preserve">2. Strategic Objectives for Teacher Secondary Development</w:t>
      </w:r>
    </w:p>
    <w:p>
      <w:pPr>
        <w:pStyle w:val="FirstParagraph"/>
      </w:pPr>
      <w:r>
        <w:t xml:space="preserve">To ensure the successful implementation of this initiative, we have identified four core strategic pillars:</w:t>
      </w:r>
    </w:p>
    <w:p>
      <w:pPr>
        <w:numPr>
          <w:ilvl w:val="0"/>
          <w:numId w:val="1001"/>
        </w:numPr>
        <w:pStyle w:val="Compact"/>
      </w:pPr>
      <w:r>
        <w:rPr>
          <w:bCs/>
          <w:b/>
        </w:rPr>
        <w:t xml:space="preserve">Digital Literacy and Integration:</w:t>
      </w:r>
    </w:p>
    <w:p>
      <w:pPr>
        <w:numPr>
          <w:ilvl w:val="0"/>
          <w:numId w:val="1001"/>
        </w:numPr>
        <w:pStyle w:val="Compact"/>
      </w:pPr>
      <w:r>
        <w:rPr>
          <w:bCs/>
          <w:b/>
        </w:rPr>
        <w:t xml:space="preserve">Pedagogical Innovation:</w:t>
      </w:r>
    </w:p>
    <w:p>
      <w:pPr>
        <w:numPr>
          <w:ilvl w:val="0"/>
          <w:numId w:val="1001"/>
        </w:numPr>
        <w:pStyle w:val="Compact"/>
      </w:pPr>
      <w:r>
        <w:rPr>
          <w:bCs/>
          <w:b/>
        </w:rPr>
        <w:t xml:space="preserve">Psychological Well-being and Soft Skills:</w:t>
      </w:r>
    </w:p>
    <w:p>
      <w:pPr>
        <w:numPr>
          <w:ilvl w:val="0"/>
          <w:numId w:val="1001"/>
        </w:numPr>
        <w:pStyle w:val="Compact"/>
      </w:pPr>
      <w:r>
        <w:rPr>
          <w:bCs/>
          <w:b/>
        </w:rPr>
        <w:t xml:space="preserve">Regional Cultural Competence:</w:t>
      </w:r>
    </w:p>
    <w:bookmarkEnd w:id="21"/>
    <w:bookmarkStart w:id="25" w:name="X18119c90a33f91042af7c4eff29c4da2549a26e"/>
    <w:p>
      <w:pPr>
        <w:pStyle w:val="Heading2"/>
      </w:pPr>
      <w:r>
        <w:t xml:space="preserve">3. Implementation Plan for Russia Saint Petersburg</w:t>
      </w:r>
    </w:p>
    <w:p>
      <w:pPr>
        <w:pStyle w:val="FirstParagraph"/>
      </w:pPr>
      <w:r>
        <w:t xml:space="preserve">The rollout of this initiative will be phased over a 24-month period, specifically designed to minimize disruption to the academic calendar while maximizing engagement.</w:t>
      </w:r>
    </w:p>
    <w:bookmarkStart w:id="22" w:name="Xe03c36689792f16b00f50145bfeed6da6fb8a5f"/>
    <w:p>
      <w:pPr>
        <w:pStyle w:val="Heading3"/>
      </w:pPr>
      <w:r>
        <w:t xml:space="preserve">Phase 1: Assessment and Baseline Data Collection (Months 1-6)</w:t>
      </w:r>
    </w:p>
    <w:p>
      <w:pPr>
        <w:pStyle w:val="FirstParagraph"/>
      </w:pPr>
      <w:r>
        <w:t xml:space="preserve">In this initial stage, we will conduct comprehensive audits of current teaching practices across selected districts in</w:t>
      </w:r>
      <w:r>
        <w:t xml:space="preserve"> </w:t>
      </w:r>
      <w:r>
        <w:rPr>
          <w:bCs/>
          <w:b/>
        </w:rPr>
        <w:t xml:space="preserve">Russia Saint Petersburg</w:t>
      </w:r>
      <w:r>
        <w:t xml:space="preserve">. Surveys and classroom observations will determine the current proficiency levels of secondary teachers. This data is crucial for tailoring the subsequent training modules to actual needs rather than theoretical assumptions.</w:t>
      </w:r>
    </w:p>
    <w:bookmarkEnd w:id="22"/>
    <w:bookmarkStart w:id="23" w:name="Xbd72227731c6b4c1e52e3b4f2e25c76880d2f3c"/>
    <w:p>
      <w:pPr>
        <w:pStyle w:val="Heading3"/>
      </w:pPr>
      <w:r>
        <w:t xml:space="preserve">Phase 2: Pilot Training Programs (Months 7-12)</w:t>
      </w:r>
    </w:p>
    <w:p>
      <w:pPr>
        <w:pStyle w:val="FirstParagraph"/>
      </w:pPr>
      <w:r>
        <w:t xml:space="preserve">We will launch pilot workshops in five key districts. These sessions will be led by master educators and external experts in pedagogy and technology. The focus here is on hands-on training for the</w:t>
      </w:r>
      <w:r>
        <w:t xml:space="preserve"> </w:t>
      </w:r>
      <w:r>
        <w:rPr>
          <w:bCs/>
          <w:b/>
        </w:rPr>
        <w:t xml:space="preserve">Teacher Secondary</w:t>
      </w:r>
      <w:r>
        <w:t xml:space="preserve"> </w:t>
      </w:r>
      <w:r>
        <w:t xml:space="preserve">cohort, allowing them to experiment with new methodologies in a supported environment. Feedback loops will be established immediately to refine the curriculum.</w:t>
      </w:r>
    </w:p>
    <w:bookmarkEnd w:id="23"/>
    <w:bookmarkStart w:id="24" w:name="Xe7e72236fddfe946dd8496c202c7d5ca6b7f093"/>
    <w:p>
      <w:pPr>
        <w:pStyle w:val="Heading3"/>
      </w:pPr>
      <w:r>
        <w:t xml:space="preserve">Phase 3: District-Wide Rollout (Months 13-24)</w:t>
      </w:r>
    </w:p>
    <w:p>
      <w:pPr>
        <w:pStyle w:val="FirstParagraph"/>
      </w:pPr>
      <w:r>
        <w:t xml:space="preserve">The refined training model will be expanded to cover all secondary schools in</w:t>
      </w:r>
      <w:r>
        <w:t xml:space="preserve"> </w:t>
      </w:r>
      <w:r>
        <w:rPr>
          <w:bCs/>
          <w:b/>
        </w:rPr>
        <w:t xml:space="preserve">Russia Saint Petersburg</w:t>
      </w:r>
      <w:r>
        <w:t xml:space="preserve">. This phase involves large-scale webinars, on-site coaching, and the creation of a centralized digital repository of best practices. Teachers will earn continuing education credits upon completion, linking their professional growth directly to career advancement opportunities.</w:t>
      </w:r>
    </w:p>
    <w:bookmarkEnd w:id="24"/>
    <w:bookmarkEnd w:id="25"/>
    <w:bookmarkStart w:id="26" w:name="challenges-and-mitigation-strategies"/>
    <w:p>
      <w:pPr>
        <w:pStyle w:val="Heading2"/>
      </w:pPr>
      <w:r>
        <w:t xml:space="preserve">4. Challenges and Mitigation Strategies</w:t>
      </w:r>
    </w:p>
    <w:p>
      <w:pPr>
        <w:pStyle w:val="FirstParagraph"/>
      </w:pPr>
      <w:r>
        <w:t xml:space="preserve">Implementing such a comprehensive reform in</w:t>
      </w:r>
      <w:r>
        <w:t xml:space="preserve"> </w:t>
      </w:r>
      <w:r>
        <w:rPr>
          <w:bCs/>
          <w:b/>
        </w:rPr>
        <w:t xml:space="preserve">Russia Saint Petersburg</w:t>
      </w:r>
      <w:r>
        <w:t xml:space="preserve"> </w:t>
      </w:r>
      <w:r>
        <w:t xml:space="preserve">presents specific challenges:</w:t>
      </w:r>
    </w:p>
    <w:p>
      <w:pPr>
        <w:numPr>
          <w:ilvl w:val="0"/>
          <w:numId w:val="1002"/>
        </w:numPr>
        <w:pStyle w:val="Compact"/>
      </w:pPr>
      <w:r>
        <w:rPr>
          <w:bCs/>
          <w:b/>
        </w:rPr>
        <w:t xml:space="preserve">Skepticism toward Change:</w:t>
      </w:r>
    </w:p>
    <w:p>
      <w:pPr>
        <w:numPr>
          <w:ilvl w:val="0"/>
          <w:numId w:val="1002"/>
        </w:numPr>
        <w:pStyle w:val="Compact"/>
      </w:pPr>
      <w:r>
        <w:rPr>
          <w:bCs/>
          <w:b/>
        </w:rPr>
        <w:t xml:space="preserve">Budgetary Constraints:</w:t>
      </w:r>
    </w:p>
    <w:p>
      <w:pPr>
        <w:numPr>
          <w:ilvl w:val="0"/>
          <w:numId w:val="1002"/>
        </w:numPr>
        <w:pStyle w:val="Compact"/>
      </w:pPr>
      <w:r>
        <w:rPr>
          <w:bCs/>
          <w:b/>
        </w:rPr>
        <w:t xml:space="preserve">Bureaucratic Hurdles:</w:t>
      </w:r>
    </w:p>
    <w:bookmarkEnd w:id="26"/>
    <w:bookmarkStart w:id="27" w:name="expected-outcomes-and-impact-assessment"/>
    <w:p>
      <w:pPr>
        <w:pStyle w:val="Heading2"/>
      </w:pPr>
      <w:r>
        <w:t xml:space="preserve">5. Expected Outcomes and Impact Assessment</w:t>
      </w:r>
    </w:p>
    <w:p>
      <w:pPr>
        <w:pStyle w:val="FirstParagraph"/>
      </w:pPr>
      <w:r>
        <w:t xml:space="preserve">The success of this project will be measured through key performance indicators (KPIs) focused on both teacher proficiency and student outcomes. We anticipate a 30% increase in the use of interactive teaching methods within two years. Furthermore, student satisfaction scores regarding teacher engagement are expected to rise significantly.</w:t>
      </w:r>
    </w:p>
    <w:p>
      <w:pPr>
        <w:pStyle w:val="BodyText"/>
      </w:pPr>
      <w:r>
        <w:t xml:space="preserve">By investing in the</w:t>
      </w:r>
      <w:r>
        <w:t xml:space="preserve"> </w:t>
      </w:r>
      <w:r>
        <w:rPr>
          <w:bCs/>
          <w:b/>
        </w:rPr>
        <w:t xml:space="preserve">Teacher Secondary</w:t>
      </w:r>
      <w:r>
        <w:t xml:space="preserve">, we are ultimately investing in the future workforce of</w:t>
      </w:r>
      <w:r>
        <w:t xml:space="preserve"> </w:t>
      </w:r>
      <w:r>
        <w:rPr>
          <w:bCs/>
          <w:b/>
        </w:rPr>
        <w:t xml:space="preserve">Russia Saint Petersburg</w:t>
      </w:r>
      <w:r>
        <w:t xml:space="preserve">. A highly qualified, motivated, and adaptable teaching staff is the cornerstone of any successful education system. This project report serves as a blueprint for creating an educational environment that is not only academically rigorous but also supportive, innovative, and culturally rich.</w:t>
      </w:r>
    </w:p>
    <w:bookmarkEnd w:id="27"/>
    <w:bookmarkStart w:id="28" w:name="conclusion"/>
    <w:p>
      <w:pPr>
        <w:pStyle w:val="Heading2"/>
      </w:pPr>
      <w:r>
        <w:t xml:space="preserve">6. Conclusion</w:t>
      </w:r>
    </w:p>
    <w:p>
      <w:pPr>
        <w:pStyle w:val="FirstParagraph"/>
      </w:pPr>
      <w:r>
        <w:t xml:space="preserve">In conclusion, the modernization of secondary education in</w:t>
      </w:r>
      <w:r>
        <w:t xml:space="preserve"> </w:t>
      </w:r>
      <w:r>
        <w:rPr>
          <w:bCs/>
          <w:b/>
        </w:rPr>
        <w:t xml:space="preserve">Russia Saint Petersburg</w:t>
      </w:r>
      <w:r>
        <w:t xml:space="preserve"> </w:t>
      </w:r>
      <w:r>
        <w:t xml:space="preserve">requires a concerted effort to empower its educators. This document has outlined a robust strategy to enhance the capabilities of every</w:t>
      </w:r>
      <w:r>
        <w:t xml:space="preserve"> </w:t>
      </w:r>
      <w:r>
        <w:rPr>
          <w:bCs/>
          <w:b/>
        </w:rPr>
        <w:t xml:space="preserve">Teacher Secondary</w:t>
      </w:r>
      <w:r>
        <w:t xml:space="preserve">, ensuring they are prepared for the demands of 21st-century learning. By aligning with international best practices while respecting local traditions, we can create a model for educational excellence that benefits students across the region and serves as an example for other parts of Russia.</w:t>
      </w:r>
    </w:p>
    <w:p>
      <w:pPr>
        <w:pStyle w:val="BodyText"/>
      </w:pPr>
      <w:r>
        <w:t xml:space="preserve">We recommend immediate approval of the Phase 1 budget to begin data collection and stakeholder engagement. The time to act is now, ensuring that</w:t>
      </w:r>
      <w:r>
        <w:t xml:space="preserve"> </w:t>
      </w:r>
      <w:r>
        <w:rPr>
          <w:bCs/>
          <w:b/>
        </w:rPr>
        <w:t xml:space="preserve">Russia Saint Petersburg</w:t>
      </w:r>
      <w:r>
        <w:t xml:space="preserve"> </w:t>
      </w:r>
      <w:r>
        <w:t xml:space="preserve">remains at the forefront of educational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Implementation in Russia Saint Petersburg</dc:title>
  <dc:creator/>
  <dc:language>en</dc:language>
  <cp:keywords/>
  <dcterms:created xsi:type="dcterms:W3CDTF">2026-07-29T18:10:02Z</dcterms:created>
  <dcterms:modified xsi:type="dcterms:W3CDTF">2026-07-29T18:10:02Z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