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Jeddah</w:t>
      </w:r>
    </w:p>
    <w:bookmarkStart w:id="35" w:name="X7533fdc0ae113bf431f98b9bf4ece8d4af6db16"/>
    <w:p>
      <w:pPr>
        <w:pStyle w:val="Heading1"/>
      </w:pPr>
      <w:r>
        <w:t xml:space="preserve">Project Report: Implementation of Teacher Secondary Education Framework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Strategic Planning Committee</w:t>
      </w:r>
      <w:r>
        <w:br/>
      </w:r>
    </w:p>
    <w:p>
      <w:pPr>
        <w:pStyle w:val="BodyText"/>
      </w:pPr>
      <w:r>
        <w:t xml:space="preserve">From:Educational Development Task Force</w:t>
      </w:r>
      <w:r>
        <w:br/>
      </w:r>
      <w:r>
        <w:br/>
      </w:r>
      <w:r>
        <w:rPr>
          <w:iCs/>
          <w:i/>
        </w:rPr>
        <w:t xml:space="preserve">The following Project Report outlines the strategic objectives, operational challenges, and proposed solutions for enhancing the secondary education sector in Saudi Arabia, with a specific focus on Jeddah. This document serves as a comprehensive guide for stakeholders involved in Teacher Secondary curriculum alignment and pedagogical modernization.</w:t>
      </w:r>
    </w:p>
    <w:bookmarkStart w:id="20" w:name="introduction"/>
    <w:p>
      <w:pPr>
        <w:pStyle w:val="Heading2"/>
      </w:pPr>
      <w:r>
        <w:t xml:space="preserve">1. Introduction</w:t>
      </w:r>
    </w:p>
    <w:p>
      <w:pPr>
        <w:pStyle w:val="FirstParagraph"/>
      </w:pPr>
      <w:r>
        <w:t xml:space="preserve">The Kingdom of Saudi Arabia is currently undergoing a transformative period under Vision 2030, with education serving as one of the primary pillars for national development. Within this vast framework, the role of secondary education is critical in shaping the future workforce and citizenry. This Project Report focuses specifically on</w:t>
      </w:r>
      <w:r>
        <w:t xml:space="preserve"> </w:t>
      </w:r>
      <w:r>
        <w:rPr>
          <w:bCs/>
          <w:b/>
        </w:rPr>
        <w:t xml:space="preserve">Saudi Arabia Jeddah</w:t>
      </w:r>
      <w:r>
        <w:t xml:space="preserve">, a metropolitan hub that serves as a gateway to global commerce and culture, requiring an educational system that reflects both traditional Islamic values and modern international standards.</w:t>
      </w:r>
    </w:p>
    <w:p>
      <w:pPr>
        <w:pStyle w:val="BodyText"/>
      </w:pPr>
      <w:r>
        <w:t xml:space="preserve">The core objective of this report is to address the evolving needs of</w:t>
      </w:r>
      <w:r>
        <w:t xml:space="preserve"> </w:t>
      </w:r>
      <w:r>
        <w:rPr>
          <w:bCs/>
          <w:b/>
        </w:rPr>
        <w:t xml:space="preserve">Teacher Secondary</w:t>
      </w:r>
      <w:r>
        <w:t xml:space="preserve"> </w:t>
      </w:r>
      <w:r>
        <w:t xml:space="preserve">professionals. By analyzing current pedagogical trends, technological integration requirements, and cultural nuances specific to the Red Sea region, we aim to propose a robust framework for teacher development. This initiative seeks not only to improve student outcomes but also to empower educators who are instrumental in delivering quality instruction across the secondary levels.</w:t>
      </w:r>
    </w:p>
    <w:bookmarkEnd w:id="20"/>
    <w:bookmarkStart w:id="21" w:name="Xbfa1bf1f47b55c5eded0c90d9cc86d06f2c4c99"/>
    <w:p>
      <w:pPr>
        <w:pStyle w:val="Heading2"/>
      </w:pPr>
      <w:r>
        <w:t xml:space="preserve">2. Contextual Analysis: The Landscape of Saudi Arabia Jeddah</w:t>
      </w:r>
    </w:p>
    <w:p>
      <w:pPr>
        <w:pStyle w:val="FirstParagraph"/>
      </w:pPr>
      <w:r>
        <w:t xml:space="preserve">Jeddah, as the second-largest city in</w:t>
      </w:r>
      <w:r>
        <w:t xml:space="preserve"> </w:t>
      </w:r>
      <w:r>
        <w:rPr>
          <w:bCs/>
          <w:b/>
        </w:rPr>
        <w:t xml:space="preserve">Saudi Arabia</w:t>
      </w:r>
      <w:r>
        <w:t xml:space="preserve">, presents a unique educational ecosystem. Unlike the capital, Riyadh, which is heavily administrative and government-focused, Jeddah boasts a diverse population with significant international exposure due to its port and tourism sectors. This diversity influences student demographics and parental expectations in secondary schools.</w:t>
      </w:r>
    </w:p>
    <w:p>
      <w:pPr>
        <w:pStyle w:val="BodyText"/>
      </w:pPr>
      <w:r>
        <w:t xml:space="preserve">The urban density of Jeddah requires efficient resource allocation and innovative teaching methods. Furthermore, the cultural fabric of</w:t>
      </w:r>
      <w:r>
        <w:t xml:space="preserve"> </w:t>
      </w:r>
      <w:r>
        <w:rPr>
          <w:bCs/>
          <w:b/>
        </w:rPr>
        <w:t xml:space="preserve">Saudi Arabia Jeddah</w:t>
      </w:r>
      <w:r>
        <w:t xml:space="preserve"> </w:t>
      </w:r>
      <w:r>
        <w:t xml:space="preserve">demands a curriculum that respects local heritage while fostering global competitiveness. Therefore, the</w:t>
      </w:r>
      <w:r>
        <w:t xml:space="preserve"> </w:t>
      </w:r>
      <w:r>
        <w:rPr>
          <w:bCs/>
          <w:b/>
        </w:rPr>
        <w:t xml:space="preserve">Teacher Secondary</w:t>
      </w:r>
      <w:r>
        <w:t xml:space="preserve"> </w:t>
      </w:r>
      <w:r>
        <w:t xml:space="preserve">programs must be tailored to address these specific regional characteristics, ensuring that educators are equipped to handle multicultural classrooms and diverse learning needs.</w:t>
      </w:r>
    </w:p>
    <w:bookmarkEnd w:id="21"/>
    <w:bookmarkStart w:id="22" w:name="Xee72fdf2e1e61d3e9d8ee6101b10646070c7590"/>
    <w:p>
      <w:pPr>
        <w:pStyle w:val="Heading2"/>
      </w:pPr>
      <w:r>
        <w:t xml:space="preserve">3. Objectives of the Teacher Secondary Development Initiative</w:t>
      </w:r>
    </w:p>
    <w:p>
      <w:pPr>
        <w:pStyle w:val="FirstParagraph"/>
      </w:pPr>
      <w:r>
        <w:t xml:space="preserve">The primary goals of this project are designed to elevate the standard of secondary education through the following objectives:</w:t>
      </w:r>
    </w:p>
    <w:p>
      <w:pPr>
        <w:numPr>
          <w:ilvl w:val="0"/>
          <w:numId w:val="1001"/>
        </w:numPr>
        <w:pStyle w:val="Compact"/>
      </w:pPr>
      <w:r>
        <w:rPr>
          <w:bCs/>
          <w:b/>
        </w:rPr>
        <w:t xml:space="preserve">Pedagogical Modernization:</w:t>
      </w:r>
      <w:r>
        <w:t xml:space="preserve"> </w:t>
      </w:r>
      <w:r>
        <w:t xml:space="preserve">Transitioning from traditional rote-learning methods to student-centered, inquiry-based learning models within the secondary sector.</w:t>
      </w:r>
    </w:p>
    <w:p>
      <w:pPr>
        <w:numPr>
          <w:ilvl w:val="0"/>
          <w:numId w:val="1001"/>
        </w:numPr>
        <w:pStyle w:val="Compact"/>
      </w:pPr>
      <w:r>
        <w:rPr>
          <w:bCs/>
          <w:b/>
        </w:rPr>
        <w:t xml:space="preserve">Digital Literacy Enhancement:</w:t>
      </w:r>
      <w:r>
        <w:t xml:space="preserve"> </w:t>
      </w:r>
      <w:r>
        <w:t xml:space="preserve">Ensuring that every</w:t>
      </w:r>
    </w:p>
    <w:p>
      <w:pPr>
        <w:numPr>
          <w:ilvl w:val="0"/>
          <w:numId w:val="1000"/>
        </w:numPr>
        <w:pStyle w:val="Compact"/>
      </w:pPr>
      <w:r>
        <w:t xml:space="preserve">Teacher Secondary instructor is proficient in using digital tools, AI-assisted grading systems, and virtual reality simulations to enhance classroom engagement.</w:t>
      </w:r>
    </w:p>
    <w:p>
      <w:pPr>
        <w:numPr>
          <w:ilvl w:val="0"/>
          <w:numId w:val="1001"/>
        </w:numPr>
        <w:pStyle w:val="Compact"/>
      </w:pPr>
      <w:r>
        <w:rPr>
          <w:bCs/>
          <w:b/>
        </w:rPr>
        <w:t xml:space="preserve">Cultural Competency Training:</w:t>
      </w:r>
      <w:r>
        <w:t xml:space="preserve"> </w:t>
      </w:r>
      <w:r>
        <w:t xml:space="preserve">Providing professional development that helps teachers navigate the intersection of global educational standards and local Saudi cultural values.</w:t>
      </w:r>
    </w:p>
    <w:p>
      <w:pPr>
        <w:numPr>
          <w:ilvl w:val="0"/>
          <w:numId w:val="1001"/>
        </w:numPr>
        <w:pStyle w:val="Compact"/>
      </w:pPr>
      <w:r>
        <w:rPr>
          <w:bCs/>
          <w:b/>
        </w:rPr>
        <w:t xml:space="preserve">Mental Health and Well-being Support:</w:t>
      </w:r>
      <w:r>
        <w:t xml:space="preserve"> </w:t>
      </w:r>
      <w:r>
        <w:t xml:space="preserve">Establishing support systems for both students and teachers, recognizing the high-pressure environment often associated with secondary education examinations in</w:t>
      </w:r>
    </w:p>
    <w:p>
      <w:pPr>
        <w:numPr>
          <w:ilvl w:val="0"/>
          <w:numId w:val="1000"/>
        </w:numPr>
        <w:pStyle w:val="Compact"/>
      </w:pPr>
      <w:r>
        <w:t xml:space="preserve">Saudi Arabia.</w:t>
      </w:r>
    </w:p>
    <w:bookmarkEnd w:id="22"/>
    <w:bookmarkStart w:id="26" w:name="key-challenges-identified"/>
    <w:p>
      <w:pPr>
        <w:pStyle w:val="Heading2"/>
      </w:pPr>
      <w:r>
        <w:t xml:space="preserve">4. Key Challenges Identified</w:t>
      </w:r>
    </w:p>
    <w:p>
      <w:pPr>
        <w:pStyle w:val="FirstParagraph"/>
      </w:pPr>
      <w:r>
        <w:t xml:space="preserve">In analyzing the current state of secondary education, several challenges have been identified that impact the effectiveness of Teacher Secondary programs:</w:t>
      </w:r>
    </w:p>
    <w:bookmarkStart w:id="23" w:name="bridging-the-digital-divide"/>
    <w:p>
      <w:pPr>
        <w:pStyle w:val="Heading3"/>
      </w:pPr>
      <w:r>
        <w:t xml:space="preserve">4.1 Bridging the Digital Divide</w:t>
      </w:r>
    </w:p>
    <w:p>
      <w:pPr>
        <w:pStyle w:val="FirstParagraph"/>
      </w:pPr>
      <w:r>
        <w:t xml:space="preserve">While Jeddah is a modern city, disparities exist between schools in affluent neighborhoods and those in less privileged areas. Ensuring equitable access to high-speed internet and up-to-date hardware for all</w:t>
      </w:r>
      <w:r>
        <w:t xml:space="preserve"> </w:t>
      </w:r>
      <w:r>
        <w:rPr>
          <w:bCs/>
          <w:b/>
        </w:rPr>
        <w:t xml:space="preserve">Saudi Arabia Jeddah</w:t>
      </w:r>
      <w:r>
        <w:t xml:space="preserve"> </w:t>
      </w:r>
      <w:r>
        <w:t xml:space="preserve">secondary teachers remains a logistical hurdle.</w:t>
      </w:r>
    </w:p>
    <w:bookmarkEnd w:id="23"/>
    <w:bookmarkStart w:id="24" w:name="teacher-retention-and-motivation"/>
    <w:p>
      <w:pPr>
        <w:pStyle w:val="Heading3"/>
      </w:pPr>
      <w:r>
        <w:t xml:space="preserve">4.2 Teacher Retention and Motivation</w:t>
      </w:r>
    </w:p>
    <w:p>
      <w:pPr>
        <w:pStyle w:val="FirstParagraph"/>
      </w:pPr>
      <w:r>
        <w:t xml:space="preserve">Burnout is a significant concern. The workload associated with administrative duties, coupled with the pressure to meet Vision 2030 targets, often leads to fatigue among secondary educators. Revitalizing the professional identity of teachers is crucial.</w:t>
      </w:r>
    </w:p>
    <w:bookmarkEnd w:id="24"/>
    <w:bookmarkStart w:id="25" w:name="curriculum-alignment"/>
    <w:p>
      <w:pPr>
        <w:pStyle w:val="Heading3"/>
      </w:pPr>
      <w:r>
        <w:t xml:space="preserve">4.3 Curriculum Alignment</w:t>
      </w:r>
    </w:p>
    <w:p>
      <w:pPr>
        <w:pStyle w:val="FirstParagraph"/>
      </w:pPr>
      <w:r>
        <w:t xml:space="preserve">Aligning local curricula with international benchmarks while maintaining cultural integrity requires constant revision and teacher training. Many teachers struggle with adapting new standards that emphasize critical thinking over memorization.</w:t>
      </w:r>
    </w:p>
    <w:bookmarkEnd w:id="25"/>
    <w:bookmarkEnd w:id="26"/>
    <w:bookmarkStart w:id="31" w:name="X685f3c3fdba0caea401a55af4b05d19c72f5ec3"/>
    <w:p>
      <w:pPr>
        <w:pStyle w:val="Heading2"/>
      </w:pPr>
      <w:r>
        <w:t xml:space="preserve">5. Proposed Strategies and Implementation Plan</w:t>
      </w:r>
    </w:p>
    <w:bookmarkStart w:id="27" w:name="X355de3bec603d468a6b79e35cdcb7f4631f1898"/>
    <w:p>
      <w:pPr>
        <w:pStyle w:val="Heading3"/>
      </w:pPr>
      <w:r>
        <w:rPr>
          <w:bCs/>
          <w:b/>
        </w:rPr>
        <w:t xml:space="preserve">Milestone 1: Comprehensive Needs Assessment (Months 1-3)</w:t>
      </w:r>
    </w:p>
    <w:p>
      <w:pPr>
        <w:pStyle w:val="FirstParagraph"/>
      </w:pPr>
      <w:r>
        <w:t xml:space="preserve">A detailed survey will be conducted across all secondary schools in Jeddah to assess current teacher competencies, resource availability, and specific pain points. This data will inform the customized training modules for the Teacher Secondary framework.</w:t>
      </w:r>
    </w:p>
    <w:bookmarkEnd w:id="27"/>
    <w:bookmarkStart w:id="28" w:name="Xde03f91a8ca8053a7e2d7b7a26f79ab1137f2fd"/>
    <w:p>
      <w:pPr>
        <w:pStyle w:val="Heading3"/>
      </w:pPr>
      <w:r>
        <w:rPr>
          <w:bCs/>
          <w:b/>
        </w:rPr>
        <w:t xml:space="preserve">Milestone 2: Pilot Program Launch (Months 4-9)</w:t>
      </w:r>
    </w:p>
    <w:p>
      <w:pPr>
        <w:pStyle w:val="FirstParagraph"/>
      </w:pPr>
      <w:r>
        <w:t xml:space="preserve">We will launch a pilot program in ten diverse schools across Jeddah. These schools will receive intensive training on digital pedagogy and student-centered learning. Mentors from high-performing international schools within the region will be paired with local secondary teachers to provide guidance.</w:t>
      </w:r>
    </w:p>
    <w:bookmarkEnd w:id="28"/>
    <w:bookmarkStart w:id="29" w:name="X0c67f17fb90ef0b6a47fb2fd79ae6d0a08052d7"/>
    <w:p>
      <w:pPr>
        <w:pStyle w:val="Heading3"/>
      </w:pPr>
      <w:r>
        <w:rPr>
          <w:bCs/>
          <w:b/>
        </w:rPr>
        <w:t xml:space="preserve">Milestone 3: Full-Scale Deployment (Months 10-18)</w:t>
      </w:r>
    </w:p>
    <w:p>
      <w:pPr>
        <w:pStyle w:val="FirstParagraph"/>
      </w:pPr>
      <w:r>
        <w:t xml:space="preserve">Following the success of the pilot, a full-scale rollout will occur across all of Jeddah. This includes the distribution of hardware packages and mandatory workshops on cultural competency and modern teaching methodologies for every Teacher Secondary participant.</w:t>
      </w:r>
    </w:p>
    <w:bookmarkEnd w:id="29"/>
    <w:bookmarkStart w:id="30" w:name="Xb9d0cb9cab717d1a2caeb22548c43e9f85c9de3"/>
    <w:p>
      <w:pPr>
        <w:pStyle w:val="Heading3"/>
      </w:pPr>
      <w:r>
        <w:rPr>
          <w:bCs/>
          <w:b/>
        </w:rPr>
        <w:t xml:space="preserve">Milestone 4: Monitoring, Evaluation, and Sustainability (Ongoing)</w:t>
      </w:r>
    </w:p>
    <w:p>
      <w:pPr>
        <w:pStyle w:val="FirstParagraph"/>
      </w:pPr>
      <w:r>
        <w:t xml:space="preserve">A robust feedback loop will be established. Quarterly reviews will measure improvements in student performance, teacher satisfaction scores, and technological adoption rates. The data will drive continuous improvement for future phases of the project in</w:t>
      </w:r>
    </w:p>
    <w:p>
      <w:pPr>
        <w:pStyle w:val="BodyText"/>
      </w:pPr>
      <w:r>
        <w:t xml:space="preserve">Saudi Arabia Jeddah.</w:t>
      </w:r>
    </w:p>
    <w:bookmarkEnd w:id="30"/>
    <w:bookmarkEnd w:id="31"/>
    <w:bookmarkStart w:id="32" w:name="expected-outcomes-and-impact"/>
    <w:p>
      <w:pPr>
        <w:pStyle w:val="Heading2"/>
      </w:pPr>
      <w:r>
        <w:t xml:space="preserve">6. Expected Outcomes and Impact</w:t>
      </w:r>
    </w:p>
    <w:p>
      <w:pPr>
        <w:pStyle w:val="FirstParagraph"/>
      </w:pPr>
      <w:r>
        <w:t xml:space="preserve">The successful execution of this Project Report’s initiatives will yield significant benefits:</w:t>
      </w:r>
    </w:p>
    <w:p>
      <w:pPr>
        <w:numPr>
          <w:ilvl w:val="0"/>
          <w:numId w:val="1002"/>
        </w:numPr>
        <w:pStyle w:val="Compact"/>
      </w:pPr>
      <w:r>
        <w:rPr>
          <w:bCs/>
          <w:b/>
        </w:rPr>
        <w:t xml:space="preserve">Elevated Student Achievement:</w:t>
      </w:r>
      <w:r>
        <w:t xml:space="preserve"> </w:t>
      </w:r>
      <w:r>
        <w:t xml:space="preserve">Improved critical thinking skills and higher graduation rates in secondary schools.</w:t>
      </w:r>
    </w:p>
    <w:p>
      <w:pPr>
        <w:numPr>
          <w:ilvl w:val="0"/>
          <w:numId w:val="1002"/>
        </w:numPr>
        <w:pStyle w:val="Compact"/>
      </w:pPr>
      <w:r>
        <w:rPr>
          <w:bCs/>
          <w:b/>
        </w:rPr>
        <w:t xml:space="preserve">Educator Empowerment:</w:t>
      </w:r>
      <w:r>
        <w:t xml:space="preserve"> </w:t>
      </w:r>
      <w:r>
        <w:t xml:space="preserve">Secondary teachers will feel more supported, valued, and technically proficient. This should lead to increased job satisfaction and retention rates.</w:t>
      </w:r>
    </w:p>
    <w:p>
      <w:pPr>
        <w:numPr>
          <w:ilvl w:val="0"/>
          <w:numId w:val="1002"/>
        </w:numPr>
        <w:pStyle w:val="Compact"/>
      </w:pPr>
      <w:r>
        <w:rPr>
          <w:bCs/>
          <w:b/>
        </w:rPr>
        <w:t xml:space="preserve">Cultural Preservation with Global Reach:</w:t>
      </w:r>
      <w:r>
        <w:t xml:space="preserve">A balanced educational model that preserves the identity of Saudi Arabia while equipping students for international engagement.</w:t>
      </w:r>
    </w:p>
    <w:bookmarkEnd w:id="32"/>
    <w:bookmarkStart w:id="33" w:name="conclusion"/>
    <w:p>
      <w:pPr>
        <w:pStyle w:val="Heading2"/>
      </w:pPr>
      <w:r>
        <w:t xml:space="preserve">7. Conclusion</w:t>
      </w:r>
    </w:p>
    <w:p>
      <w:pPr>
        <w:pStyle w:val="FirstParagraph"/>
      </w:pPr>
      <w:r>
        <w:t xml:space="preserve">The transformation of secondary education in Jeddah is not merely an administrative update but a cultural and societal imperative. By focusing on the holistic development of Teacher Secondary professionals, we lay the groundwork for a generation that is both rooted in its heritage and prepared for the future. This Project Report serves as a blueprint for achieving excellence in education within Saudi Arabia Jeddah, ensuring that every educator has the tools, knowledge, and support necessary to inspire students. We recommend immediate approval of funding and resource allocation to begin Phase 1 of this vital initiative.</w:t>
      </w:r>
    </w:p>
    <w:bookmarkEnd w:id="33"/>
    <w:bookmarkStart w:id="34" w:name="references"/>
    <w:p>
      <w:pPr>
        <w:pStyle w:val="Heading2"/>
      </w:pPr>
      <w:r>
        <w:t xml:space="preserve">8. References</w:t>
      </w:r>
    </w:p>
    <w:p>
      <w:pPr>
        <w:numPr>
          <w:ilvl w:val="0"/>
          <w:numId w:val="1003"/>
        </w:numPr>
        <w:pStyle w:val="Compact"/>
      </w:pPr>
      <w:r>
        <w:t xml:space="preserve">Ministry of Education Vision 2030 Strategic Documents.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Teacher Secondary Education Framework in Saudi Arabia, Jeddah</dc:title>
  <dc:creator/>
  <cp:keywords/>
  <dcterms:created xsi:type="dcterms:W3CDTF">2026-07-29T19:17:30Z</dcterms:created>
  <dcterms:modified xsi:type="dcterms:W3CDTF">2026-07-29T19:17:30Z</dcterms:modified>
</cp:coreProperties>
</file>

<file path=docProps/custom.xml><?xml version="1.0" encoding="utf-8"?>
<Properties xmlns="http://schemas.openxmlformats.org/officeDocument/2006/custom-properties" xmlns:vt="http://schemas.openxmlformats.org/officeDocument/2006/docPropsVTypes"/>
</file>