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Education (MEB) / Educational Oversight Committee</w:t>
      </w:r>
      <w:r>
        <w:br/>
      </w:r>
    </w:p>
    <w:p>
      <w:pPr>
        <w:pStyle w:val="BodyText"/>
      </w:pPr>
      <w:r>
        <w:t xml:space="preserve">From:</w:t>
      </w:r>
      <w:r>
        <w:t xml:space="preserve"> </w:t>
      </w:r>
      <w:r>
        <w:t xml:space="preserve">Project Management Unit, Ankara District Office</w:t>
      </w:r>
      <w:r>
        <w:br/>
      </w:r>
    </w:p>
    <w:p>
      <w:pPr>
        <w:pStyle w:val="BodyText"/>
      </w:pPr>
      <w:r>
        <w:t xml:space="preserve">Subject: Comprehensive Strategic Analysis for the Teacher Secondary Deployment Initiative in Turkey Ankara</w:t>
      </w:r>
    </w:p>
    <w:bookmarkStart w:id="28" w:name="X6d5e25161bd861ea6d52e303784feac200f5c60"/>
    <w:p>
      <w:pPr>
        <w:pStyle w:val="Heading1"/>
      </w:pPr>
      <w:r>
        <w:t xml:space="preserve">I. Executive Summary of the Project Report</w:t>
      </w:r>
    </w:p>
    <w:p>
      <w:pPr>
        <w:pStyle w:val="FirstParagraph"/>
      </w:pPr>
      <w:r>
        <w:t xml:space="preserve">This comprehensive</w:t>
      </w:r>
      <w:r>
        <w:t xml:space="preserve"> </w:t>
      </w:r>
      <w:r>
        <w:rPr>
          <w:bCs/>
          <w:b/>
        </w:rPr>
        <w:t xml:space="preserve">Project Report</w:t>
      </w:r>
    </w:p>
    <w:p>
      <w:pPr>
        <w:pStyle w:val="BodyText"/>
      </w:pPr>
      <w:r>
        <w:t xml:space="preserve">serves as a formal documentation of the strategic planning, operational framework, and anticipated outcomes regarding the recruitment, training, and deployment of specialized faculty members within the secondary education sector. The primary geographical focus of this initiative is strictly defined as</w:t>
      </w:r>
      <w:r>
        <w:t xml:space="preserve"> </w:t>
      </w:r>
      <w:r>
        <w:rPr>
          <w:bCs/>
          <w:b/>
        </w:rPr>
        <w:t xml:space="preserve">Turkey Ankara</w:t>
      </w:r>
      <w:r>
        <w:t xml:space="preserve">, recognizing its status not only as the political capital but also as a pivotal hub for educational innovation in Turkey.</w:t>
      </w:r>
      <w:r>
        <w:t xml:space="preserve"> </w:t>
      </w:r>
      <w:r>
        <w:t xml:space="preserve">The core objective of this document is to outline a sustainable model for enhancing pedagogical quality through the introduction and support of high-caliber</w:t>
      </w:r>
      <w:r>
        <w:t xml:space="preserve"> </w:t>
      </w:r>
      <w:r>
        <w:rPr>
          <w:bCs/>
          <w:b/>
        </w:rPr>
        <w:t xml:space="preserve">Teacher Secondary</w:t>
      </w:r>
    </w:p>
    <w:p>
      <w:pPr>
        <w:pStyle w:val="BodyText"/>
      </w:pPr>
      <w:r>
        <w:t xml:space="preserve">professionals. As</w:t>
      </w:r>
      <w:r>
        <w:t xml:space="preserve"> </w:t>
      </w:r>
      <w:r>
        <w:rPr>
          <w:bCs/>
          <w:b/>
        </w:rPr>
        <w:t xml:space="preserve">Turkey Ankara</w:t>
      </w:r>
      <w:r>
        <w:t xml:space="preserve"> </w:t>
      </w:r>
      <w:r>
        <w:t xml:space="preserve">continues to experience rapid demographic shifts and urbanization, the demand for robust educational infrastructure has never been higher. This report argues that by systematically addressing the staffing needs of secondary schools in the capital region, we can significantly improve student outcomes, bridge socio-economic gaps in education, and align local practices with international best standards. The subsequent sections will detail the current landscape of</w:t>
      </w:r>
      <w:r>
        <w:t xml:space="preserve"> </w:t>
      </w:r>
      <w:r>
        <w:rPr>
          <w:bCs/>
          <w:b/>
        </w:rPr>
        <w:t xml:space="preserve">Turkey Ankara</w:t>
      </w:r>
      <w:r>
        <w:t xml:space="preserve">, propose specific strategies for</w:t>
      </w:r>
      <w:r>
        <w:t xml:space="preserve"> </w:t>
      </w:r>
      <w:r>
        <w:rPr>
          <w:bCs/>
          <w:b/>
        </w:rPr>
        <w:t xml:space="preserve">Teacher Secondary</w:t>
      </w:r>
    </w:p>
    <w:p>
      <w:pPr>
        <w:pStyle w:val="BodyText"/>
      </w:pPr>
      <w:r>
        <w:t xml:space="preserve">development, and establish metrics for evaluating the long-term success of this project within the broader context of national educational reform.</w:t>
      </w:r>
    </w:p>
    <w:bookmarkStart w:id="20" w:name="X628f886a90d4c05443621ccbd4e76ef8db024fa"/>
    <w:p>
      <w:pPr>
        <w:pStyle w:val="Heading2"/>
      </w:pPr>
      <w:r>
        <w:t xml:space="preserve">II. Contextual Analysis: The Educational Landscape of Turkey Ankara</w:t>
      </w:r>
    </w:p>
    <w:p>
      <w:pPr>
        <w:pStyle w:val="FirstParagraph"/>
      </w:pPr>
      <w:r>
        <w:t xml:space="preserve">To understand the necessity of this initiative, one must first analyze the specific conditions present in</w:t>
      </w:r>
      <w:r>
        <w:t xml:space="preserve"> </w:t>
      </w:r>
      <w:r>
        <w:rPr>
          <w:bCs/>
          <w:b/>
        </w:rPr>
        <w:t xml:space="preserve">Turkey Ankara</w:t>
      </w:r>
      <w:r>
        <w:t xml:space="preserve">. As the capital city,</w:t>
      </w:r>
      <w:r>
        <w:t xml:space="preserve"> </w:t>
      </w:r>
      <w:r>
        <w:rPr>
          <w:bCs/>
          <w:b/>
        </w:rPr>
        <w:t xml:space="preserve">Turkey Ankara</w:t>
      </w:r>
    </w:p>
    <w:p>
      <w:pPr>
        <w:pStyle w:val="BodyText"/>
      </w:pPr>
      <w:r>
        <w:t xml:space="preserve">hosts a diverse student population comprising children from civil servants, military personnel, business professionals, and migrant families. This diversity presents unique challenges and opportunities for secondary education providers. The urban density in districts such as Çankaya, Keçiören, and Altındağ creates a high concentration of students requiring immediate academic attention.</w:t>
      </w:r>
    </w:p>
    <w:p>
      <w:pPr>
        <w:pStyle w:val="BodyText"/>
      </w:pPr>
      <w:r>
        <w:t xml:space="preserve">Currently, schools across</w:t>
      </w:r>
      <w:r>
        <w:t xml:space="preserve"> </w:t>
      </w:r>
      <w:r>
        <w:rPr>
          <w:bCs/>
          <w:b/>
        </w:rPr>
        <w:t xml:space="preserve">Turkey Ankara</w:t>
      </w:r>
    </w:p>
    <w:p>
      <w:pPr>
        <w:pStyle w:val="BodyText"/>
      </w:pPr>
      <w:r>
        <w:t xml:space="preserve">are grappling with increasing class sizes and the need for updated curricula that reflect modern technological advancements. While infrastructure improvements have been made, there remains a critical gap in human resources. Specifically, there is a shortage of experienced</w:t>
      </w:r>
      <w:r>
        <w:t xml:space="preserve"> </w:t>
      </w:r>
      <w:r>
        <w:rPr>
          <w:bCs/>
          <w:b/>
        </w:rPr>
        <w:t xml:space="preserve">Teacher Secondary</w:t>
      </w:r>
    </w:p>
    <w:p>
      <w:pPr>
        <w:pStyle w:val="BodyText"/>
      </w:pPr>
      <w:r>
        <w:t xml:space="preserve">professionals who possess not only subject-matter expertise but also the pedagogical skills necessary to engage diverse learners in an urban setting. The dynamic environment of</w:t>
      </w:r>
      <w:r>
        <w:t xml:space="preserve"> </w:t>
      </w:r>
      <w:r>
        <w:rPr>
          <w:bCs/>
          <w:b/>
        </w:rPr>
        <w:t xml:space="preserve">Turkey Ankara</w:t>
      </w:r>
    </w:p>
    <w:p>
      <w:pPr>
        <w:pStyle w:val="BodyText"/>
      </w:pPr>
      <w:r>
        <w:t xml:space="preserve">demands educators who are adaptable, culturally sensitive, and proficient in digital tools. Therefore, this project report emphasizes that investing in human capital is just as critical as investing in physical infrastructure when aiming to elevate the educational standards of the region.</w:t>
      </w:r>
    </w:p>
    <w:bookmarkEnd w:id="20"/>
    <w:bookmarkStart w:id="24" w:name="X6c4862a4c64752318e5ec2b8542c45ea53914b8"/>
    <w:p>
      <w:pPr>
        <w:pStyle w:val="Heading2"/>
      </w:pPr>
      <w:r>
        <w:t xml:space="preserve">III. Strategic Framework for Teacher Secondary Deployment</w:t>
      </w:r>
    </w:p>
    <w:p>
      <w:pPr>
        <w:pStyle w:val="FirstParagraph"/>
      </w:pPr>
      <w:r>
        <w:t xml:space="preserve">The heart of this</w:t>
      </w:r>
      <w:r>
        <w:t xml:space="preserve"> </w:t>
      </w:r>
      <w:r>
        <w:rPr>
          <w:bCs/>
          <w:b/>
        </w:rPr>
        <w:t xml:space="preserve">Project Report</w:t>
      </w:r>
    </w:p>
    <w:p>
      <w:pPr>
        <w:pStyle w:val="BodyText"/>
      </w:pPr>
      <w:r>
        <w:t xml:space="preserve">lies in the proposed strategies for recruiting and supporting</w:t>
      </w:r>
      <w:r>
        <w:t xml:space="preserve"> </w:t>
      </w:r>
      <w:r>
        <w:rPr>
          <w:bCs/>
          <w:b/>
        </w:rPr>
        <w:t xml:space="preserve">Teacher Secondary</w:t>
      </w:r>
    </w:p>
    <w:p>
      <w:pPr>
        <w:pStyle w:val="BodyText"/>
      </w:pPr>
      <w:r>
        <w:t xml:space="preserve">staff within</w:t>
      </w:r>
      <w:r>
        <w:t xml:space="preserve"> </w:t>
      </w:r>
      <w:r>
        <w:rPr>
          <w:bCs/>
          <w:b/>
        </w:rPr>
        <w:t xml:space="preserve">Turkey Ankara</w:t>
      </w:r>
      <w:r>
        <w:t xml:space="preserve">. Our approach is multi-faceted, focusing on three key pillars: Recruitment Excellence, Continuous Professional Development, and Community Integration.</w:t>
      </w:r>
    </w:p>
    <w:bookmarkStart w:id="21" w:name="Xf74ba5b50338032a7437ce28513d0ab3bc7750e"/>
    <w:p>
      <w:pPr>
        <w:pStyle w:val="Heading3"/>
      </w:pPr>
      <w:r>
        <w:t xml:space="preserve">A. Recruitment Excellence in Turkey Ankara</w:t>
      </w:r>
    </w:p>
    <w:p>
      <w:pPr>
        <w:pStyle w:val="FirstParagraph"/>
      </w:pPr>
      <w:r>
        <w:t xml:space="preserve">The recruitment phase must be rigorous and targeted. Given the competitive nature of the labor market in</w:t>
      </w:r>
      <w:r>
        <w:t xml:space="preserve"> </w:t>
      </w:r>
      <w:r>
        <w:rPr>
          <w:bCs/>
          <w:b/>
        </w:rPr>
        <w:t xml:space="preserve">Turkey Ankara</w:t>
      </w:r>
    </w:p>
    <w:p>
      <w:pPr>
        <w:pStyle w:val="BodyText"/>
      </w:pPr>
      <w:r>
        <w:t xml:space="preserve">, we propose partnering with top-tier universities and educational institutions to identify promising candidates for</w:t>
      </w:r>
      <w:r>
        <w:t xml:space="preserve"> </w:t>
      </w:r>
      <w:r>
        <w:rPr>
          <w:bCs/>
          <w:b/>
        </w:rPr>
        <w:t xml:space="preserve">Teacher Secondary</w:t>
      </w:r>
    </w:p>
    <w:p>
      <w:pPr>
        <w:pStyle w:val="BodyText"/>
      </w:pPr>
      <w:r>
        <w:t xml:space="preserve">roles. Incentive packages will be structured to attract talent from other regions of Turkey to settle in the capital. These incentives include housing allowances tailored to the high cost of living in central</w:t>
      </w:r>
      <w:r>
        <w:t xml:space="preserve"> </w:t>
      </w:r>
      <w:r>
        <w:rPr>
          <w:bCs/>
          <w:b/>
        </w:rPr>
        <w:t xml:space="preserve">Turkey Ankara</w:t>
      </w:r>
      <w:r>
        <w:t xml:space="preserve">, as well as career progression pathways that promise long-term stability and professional growth.</w:t>
      </w:r>
    </w:p>
    <w:bookmarkEnd w:id="21"/>
    <w:bookmarkStart w:id="22" w:name="b.-continuous-professional-development"/>
    <w:p>
      <w:pPr>
        <w:pStyle w:val="Heading3"/>
      </w:pPr>
      <w:r>
        <w:t xml:space="preserve">B. Continuous Professional Development</w:t>
      </w:r>
    </w:p>
    <w:p>
      <w:pPr>
        <w:pStyle w:val="FirstParagraph"/>
      </w:pPr>
      <w:r>
        <w:t xml:space="preserve">Recruitment is only the first step. Once appointed,</w:t>
      </w:r>
      <w:r>
        <w:t xml:space="preserve"> </w:t>
      </w:r>
      <w:r>
        <w:rPr>
          <w:bCs/>
          <w:b/>
        </w:rPr>
        <w:t xml:space="preserve">Teacher Secondary</w:t>
      </w:r>
    </w:p>
    <w:p>
      <w:pPr>
        <w:pStyle w:val="BodyText"/>
      </w:pPr>
      <w:r>
        <w:t xml:space="preserve">professionals must undergo intensive training modules designed specifically for the context of</w:t>
      </w:r>
      <w:r>
        <w:t xml:space="preserve"> </w:t>
      </w:r>
      <w:r>
        <w:rPr>
          <w:bCs/>
          <w:b/>
        </w:rPr>
        <w:t xml:space="preserve">Turkey Ankara</w:t>
      </w:r>
      <w:r>
        <w:t xml:space="preserve">. This includes workshops on inclusive education, classroom management techniques for large groups, and the integration of STEM (Science, Technology, Engineering, and Mathematics) into daily lessons. By focusing on these areas, we ensure that</w:t>
      </w:r>
      <w:r>
        <w:t xml:space="preserve"> </w:t>
      </w:r>
      <w:r>
        <w:rPr>
          <w:bCs/>
          <w:b/>
        </w:rPr>
        <w:t xml:space="preserve">Teacher Secondary</w:t>
      </w:r>
    </w:p>
    <w:p>
      <w:pPr>
        <w:pStyle w:val="BodyText"/>
      </w:pPr>
      <w:r>
        <w:t xml:space="preserve">staff are not only knowledgeable in their subjects but also equipped to handle the specific socio-emotional needs of students in the capital.</w:t>
      </w:r>
    </w:p>
    <w:bookmarkEnd w:id="22"/>
    <w:bookmarkStart w:id="23" w:name="c.-community-integration"/>
    <w:p>
      <w:pPr>
        <w:pStyle w:val="Heading3"/>
      </w:pPr>
      <w:r>
        <w:t xml:space="preserve">C. Community Integration</w:t>
      </w:r>
    </w:p>
    <w:p>
      <w:pPr>
        <w:pStyle w:val="FirstParagraph"/>
      </w:pPr>
      <w:r>
        <w:t xml:space="preserve">Educators play a vital role beyond the classroom walls. This project emphasizes that</w:t>
      </w:r>
      <w:r>
        <w:t xml:space="preserve"> </w:t>
      </w:r>
      <w:r>
        <w:rPr>
          <w:bCs/>
          <w:b/>
        </w:rPr>
        <w:t xml:space="preserve">Teacher Secondary</w:t>
      </w:r>
    </w:p>
    <w:p>
      <w:pPr>
        <w:pStyle w:val="BodyText"/>
      </w:pPr>
      <w:r>
        <w:t xml:space="preserve">staff must act as community leaders within</w:t>
      </w:r>
      <w:r>
        <w:t xml:space="preserve"> </w:t>
      </w:r>
      <w:r>
        <w:rPr>
          <w:bCs/>
          <w:b/>
        </w:rPr>
        <w:t xml:space="preserve">Turkey Ankara</w:t>
      </w:r>
      <w:r>
        <w:t xml:space="preserve">. We propose establishing mentorship programs where experienced teachers guide newcomers, fostering a sense of belonging and professional camaraderie. Furthermore, schools in</w:t>
      </w:r>
      <w:r>
        <w:t xml:space="preserve"> </w:t>
      </w:r>
      <w:r>
        <w:rPr>
          <w:bCs/>
          <w:b/>
        </w:rPr>
        <w:t xml:space="preserve">Turkey Ankara</w:t>
      </w:r>
    </w:p>
    <w:p>
      <w:pPr>
        <w:pStyle w:val="BodyText"/>
      </w:pPr>
      <w:r>
        <w:t xml:space="preserve">will serve as hubs for parent-teacher collaboration, ensuring that families are engaged partners in their children’s secondary education journey.</w:t>
      </w:r>
    </w:p>
    <w:bookmarkEnd w:id="23"/>
    <w:bookmarkEnd w:id="24"/>
    <w:bookmarkStart w:id="25" w:name="Xc06a0e691123bc0a3e32d11b09d74011fd84cae"/>
    <w:p>
      <w:pPr>
        <w:pStyle w:val="Heading2"/>
      </w:pPr>
      <w:r>
        <w:t xml:space="preserve">IV. Implementation Timeline and Resource Allocation</w:t>
      </w:r>
    </w:p>
    <w:p>
      <w:pPr>
        <w:pStyle w:val="FirstParagraph"/>
      </w:pPr>
      <w:r>
        <w:t xml:space="preserve">The execution of this</w:t>
      </w:r>
      <w:r>
        <w:t xml:space="preserve"> </w:t>
      </w:r>
      <w:r>
        <w:rPr>
          <w:bCs/>
          <w:b/>
        </w:rPr>
        <w:t xml:space="preserve">Project Report</w:t>
      </w:r>
    </w:p>
    <w:p>
      <w:pPr>
        <w:pStyle w:val="BodyText"/>
      </w:pPr>
      <w:r>
        <w:t xml:space="preserve">plan will follow a phased approach over the next three academic years. Year one will focus on pilot programs in selected districts of</w:t>
      </w:r>
      <w:r>
        <w:t xml:space="preserve"> </w:t>
      </w:r>
      <w:r>
        <w:rPr>
          <w:bCs/>
          <w:b/>
        </w:rPr>
        <w:t xml:space="preserve">Turkey Ankara</w:t>
      </w:r>
      <w:r>
        <w:t xml:space="preserve">, allowing for the testing of recruitment strategies and training modules. Data collected during this period will inform adjustments to the</w:t>
      </w:r>
      <w:r>
        <w:t xml:space="preserve"> </w:t>
      </w:r>
      <w:r>
        <w:rPr>
          <w:bCs/>
          <w:b/>
        </w:rPr>
        <w:t xml:space="preserve">Teacher Secondary</w:t>
      </w:r>
    </w:p>
    <w:p>
      <w:pPr>
        <w:pStyle w:val="BodyText"/>
      </w:pPr>
      <w:r>
        <w:t xml:space="preserve">deployment model before a nationwide rollout is considered, though initial efforts remain strictly localized to</w:t>
      </w:r>
      <w:r>
        <w:t xml:space="preserve"> </w:t>
      </w:r>
      <w:r>
        <w:rPr>
          <w:bCs/>
          <w:b/>
        </w:rPr>
        <w:t xml:space="preserve">Turkey Ankara</w:t>
      </w:r>
      <w:r>
        <w:t xml:space="preserve"> </w:t>
      </w:r>
      <w:r>
        <w:t xml:space="preserve">for quality control.</w:t>
      </w:r>
    </w:p>
    <w:p>
      <w:pPr>
        <w:pStyle w:val="BodyText"/>
      </w:pPr>
      <w:r>
        <w:t xml:space="preserve">Resource allocation will prioritize digital learning tools and teacher housing subsidies. It is estimated that a significant portion of the budget must be directed toward ensuring that</w:t>
      </w:r>
      <w:r>
        <w:t xml:space="preserve"> </w:t>
      </w:r>
      <w:r>
        <w:rPr>
          <w:bCs/>
          <w:b/>
        </w:rPr>
        <w:t xml:space="preserve">Turkey Ankara</w:t>
      </w:r>
    </w:p>
    <w:p>
      <w:pPr>
        <w:pStyle w:val="BodyText"/>
      </w:pPr>
      <w:r>
        <w:t xml:space="preserve">schools are equipped with modern technology, enabling</w:t>
      </w:r>
      <w:r>
        <w:t xml:space="preserve"> </w:t>
      </w:r>
      <w:r>
        <w:rPr>
          <w:bCs/>
          <w:b/>
        </w:rPr>
        <w:t xml:space="preserve">Teacher Secondary</w:t>
      </w:r>
    </w:p>
    <w:p>
      <w:pPr>
        <w:pStyle w:val="BodyText"/>
      </w:pPr>
      <w:r>
        <w:t xml:space="preserve">staff to deliver interactive and engaging lessons. Additionally, administrative support staff will be hired in each school to reduce the non-teaching burden on educators, allowing them to focus primarily on student development.</w:t>
      </w:r>
    </w:p>
    <w:bookmarkEnd w:id="25"/>
    <w:bookmarkStart w:id="26" w:name="X490b4195c3dec7129f5d4760173feb4676c6572"/>
    <w:p>
      <w:pPr>
        <w:pStyle w:val="Heading2"/>
      </w:pPr>
      <w:r>
        <w:t xml:space="preserve">V. Expected Outcomes and Impact Assessment</w:t>
      </w:r>
    </w:p>
    <w:p>
      <w:pPr>
        <w:pStyle w:val="FirstParagraph"/>
      </w:pPr>
      <w:r>
        <w:t xml:space="preserve">The ultimate goal of this initiative is measurable improvement in educational outcomes across</w:t>
      </w:r>
      <w:r>
        <w:t xml:space="preserve"> </w:t>
      </w:r>
      <w:r>
        <w:rPr>
          <w:bCs/>
          <w:b/>
        </w:rPr>
        <w:t xml:space="preserve">Turkey Ankara</w:t>
      </w:r>
      <w:r>
        <w:t xml:space="preserve">. We anticipate a notable increase in secondary school graduation rates and university placement statistics within three years of implementation. Furthermore, student satisfaction surveys are expected to show higher levels of engagement and confidence among learners.</w:t>
      </w:r>
    </w:p>
    <w:p>
      <w:pPr>
        <w:pStyle w:val="BodyText"/>
      </w:pPr>
      <w:r>
        <w:t xml:space="preserve">For the</w:t>
      </w:r>
      <w:r>
        <w:t xml:space="preserve"> </w:t>
      </w:r>
      <w:r>
        <w:rPr>
          <w:bCs/>
          <w:b/>
        </w:rPr>
        <w:t xml:space="preserve">Teacher Secondary</w:t>
      </w:r>
    </w:p>
    <w:p>
      <w:pPr>
        <w:pStyle w:val="BodyText"/>
      </w:pPr>
      <w:r>
        <w:t xml:space="preserve">workforce, success will be measured by retention rates. By creating a supportive and rewarding environment in</w:t>
      </w:r>
      <w:r>
        <w:t xml:space="preserve"> </w:t>
      </w:r>
      <w:r>
        <w:rPr>
          <w:bCs/>
          <w:b/>
        </w:rPr>
        <w:t xml:space="preserve">Turkey Ankara</w:t>
      </w:r>
      <w:r>
        <w:t xml:space="preserve">, we aim to reduce teacher turnover, which has historically been a challenge in high-pressure urban educational settings. High retention ensures continuity for students and allows</w:t>
      </w:r>
      <w:r>
        <w:t xml:space="preserve"> </w:t>
      </w:r>
      <w:r>
        <w:rPr>
          <w:bCs/>
          <w:b/>
        </w:rPr>
        <w:t xml:space="preserve">Teacher Secondary</w:t>
      </w:r>
    </w:p>
    <w:p>
      <w:pPr>
        <w:pStyle w:val="BodyText"/>
      </w:pPr>
      <w:r>
        <w:t xml:space="preserve">professionals to build deep, meaningful relationships with their communities.</w:t>
      </w:r>
    </w:p>
    <w:bookmarkEnd w:id="26"/>
    <w:bookmarkStart w:id="27" w:name="vi.-conclusion"/>
    <w:p>
      <w:pPr>
        <w:pStyle w:val="Heading2"/>
      </w:pPr>
      <w:r>
        <w:t xml:space="preserve">VI. Conclusion</w:t>
      </w:r>
    </w:p>
    <w:p>
      <w:pPr>
        <w:pStyle w:val="FirstParagraph"/>
      </w:pPr>
      <w:r>
        <w:t xml:space="preserve">In conclusion, this</w:t>
      </w:r>
      <w:r>
        <w:t xml:space="preserve"> </w:t>
      </w:r>
      <w:r>
        <w:rPr>
          <w:bCs/>
          <w:b/>
        </w:rPr>
        <w:t xml:space="preserve">Project Report</w:t>
      </w:r>
    </w:p>
    <w:p>
      <w:pPr>
        <w:pStyle w:val="BodyText"/>
      </w:pPr>
      <w:r>
        <w:t xml:space="preserve">underscores the critical importance of addressing the human resource needs of secondary education in</w:t>
      </w:r>
      <w:r>
        <w:t xml:space="preserve"> </w:t>
      </w:r>
      <w:r>
        <w:rPr>
          <w:bCs/>
          <w:b/>
        </w:rPr>
        <w:t xml:space="preserve">Turkey Ankara</w:t>
      </w:r>
      <w:r>
        <w:t xml:space="preserve">. By strategically deploying and supporting qualified</w:t>
      </w:r>
      <w:r>
        <w:t xml:space="preserve"> </w:t>
      </w:r>
      <w:r>
        <w:rPr>
          <w:bCs/>
          <w:b/>
        </w:rPr>
        <w:t xml:space="preserve">Teacher Secondary</w:t>
      </w:r>
    </w:p>
    <w:p>
      <w:pPr>
        <w:pStyle w:val="BodyText"/>
      </w:pPr>
      <w:r>
        <w:t xml:space="preserve">professionals, we can transform the educational landscape of the capital. This is not merely an administrative task; it is a societal imperative. The future of</w:t>
      </w:r>
      <w:r>
        <w:t xml:space="preserve"> </w:t>
      </w:r>
      <w:r>
        <w:rPr>
          <w:bCs/>
          <w:b/>
        </w:rPr>
        <w:t xml:space="preserve">Turkey Ankara</w:t>
      </w:r>
    </w:p>
    <w:p>
      <w:pPr>
        <w:pStyle w:val="BodyText"/>
      </w:pPr>
      <w:r>
        <w:t xml:space="preserve">depends on its ability to nurture young minds through effective teaching and robust educational support systems.</w:t>
      </w:r>
    </w:p>
    <w:p>
      <w:pPr>
        <w:pStyle w:val="BodyText"/>
      </w:pPr>
      <w:r>
        <w:t xml:space="preserve">We urge all stakeholders, including government officials, school administrators, and community leaders in</w:t>
      </w:r>
      <w:r>
        <w:t xml:space="preserve"> </w:t>
      </w:r>
      <w:r>
        <w:rPr>
          <w:bCs/>
          <w:b/>
        </w:rPr>
        <w:t xml:space="preserve">Turkey Ankara</w:t>
      </w:r>
      <w:r>
        <w:t xml:space="preserve">, to endorse this plan. Together, we can create an environment where</w:t>
      </w:r>
      <w:r>
        <w:t xml:space="preserve"> </w:t>
      </w:r>
      <w:r>
        <w:rPr>
          <w:bCs/>
          <w:b/>
        </w:rPr>
        <w:t xml:space="preserve">Teacher Secondary</w:t>
      </w:r>
    </w:p>
    <w:p>
      <w:pPr>
        <w:pStyle w:val="BodyText"/>
      </w:pPr>
      <w:r>
        <w:t xml:space="preserve">professionals thrive and students succeed. The time for action is now, and the foundation laid by this project will serve as a benchmark for educational excellence in</w:t>
      </w:r>
      <w:r>
        <w:t xml:space="preserve"> </w:t>
      </w:r>
      <w:r>
        <w:rPr>
          <w:bCs/>
          <w:b/>
        </w:rPr>
        <w:t xml:space="preserve">Turkey Ankara</w:t>
      </w:r>
      <w:r>
        <w:t xml:space="preserve"> </w:t>
      </w:r>
      <w:r>
        <w:t xml:space="preserve">and potentially beyond.</w:t>
      </w:r>
    </w:p>
    <w:p>
      <w:pPr>
        <w:pStyle w:val="BodyText"/>
      </w:pPr>
      <w:r>
        <w:rPr>
          <w:iCs/>
          <w:i/>
        </w:rPr>
        <w:t xml:space="preserve">This document confirms that all strategic decisions regarding the</w:t>
      </w:r>
      <w:r>
        <w:rPr>
          <w:iCs/>
          <w:i/>
        </w:rPr>
        <w:t xml:space="preserve"> </w:t>
      </w:r>
      <w:r>
        <w:rPr>
          <w:bCs/>
          <w:b/>
          <w:iCs/>
          <w:i/>
        </w:rPr>
        <w:t xml:space="preserve">Teacher Secondary</w:t>
      </w:r>
    </w:p>
    <w:p>
      <w:pPr>
        <w:pStyle w:val="BodyText"/>
      </w:pPr>
      <w:r>
        <w:t xml:space="preserve">initiative are grounded in empirical data and aligned with the developmental goals of</w:t>
      </w:r>
      <w:r>
        <w:t xml:space="preserve"> </w:t>
      </w:r>
      <w:r>
        <w:rPr>
          <w:bCs/>
          <w:b/>
        </w:rPr>
        <w:t xml:space="preserve">Turkey Ankara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Turkey Ankara</dc:title>
  <dc:creator/>
  <dc:language>en</dc:language>
  <cp:keywords/>
  <dcterms:created xsi:type="dcterms:W3CDTF">2026-07-29T12:21:41Z</dcterms:created>
  <dcterms:modified xsi:type="dcterms:W3CDTF">2026-07-29T12:21:41Z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