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Integration</w:t>
      </w:r>
      <w:r>
        <w:t xml:space="preserve"> </w:t>
      </w:r>
      <w:r>
        <w:t xml:space="preserve">in</w:t>
      </w:r>
      <w:r>
        <w:t xml:space="preserve"> </w:t>
      </w:r>
      <w:r>
        <w:t xml:space="preserve">Turkey</w:t>
      </w:r>
      <w:r>
        <w:t xml:space="preserve"> </w:t>
      </w:r>
      <w:r>
        <w:t xml:space="preserve">Istanbul</w:t>
      </w:r>
    </w:p>
    <w:bookmarkStart w:id="43" w:name="X1b231c4113734f829fbabd8f5574e6732e4bd25"/>
    <w:p>
      <w:pPr>
        <w:pStyle w:val="Heading1"/>
      </w:pPr>
      <w:r>
        <w:t xml:space="preserve">Comprehensive Project Report on the Implementation of Teacher Secondary Education Programs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(MEB), Istanbul Provincial Directorate</w:t>
      </w:r>
      <w:r>
        <w:br/>
      </w:r>
    </w:p>
    <w:p>
      <w:pPr>
        <w:pStyle w:val="BodyText"/>
      </w:pPr>
      <w:r>
        <w:t xml:space="preserve">From: Educational Strategy &amp; Development Unit</w:t>
      </w:r>
      <w:r>
        <w:br/>
      </w:r>
    </w:p>
    <w:p>
      <w:pPr>
        <w:pStyle w:val="BodyText"/>
      </w:pPr>
      <w:r>
        <w:t xml:space="preserve">Subject: Strategic Analysis and Execution Plan for the Teacher Secondary Initiative in Turkey Istanbul</w:t>
      </w:r>
    </w:p>
    <w:bookmarkStart w:id="21" w:name="section"/>
    <w:p>
      <w:pPr>
        <w:pStyle w:val="Heading2"/>
      </w:pPr>
      <w:bookmarkStart w:id="20" w:name="introduction"/>
      <w:bookmarkEnd w:id="20"/>
    </w:p>
    <w:p>
      <w:pPr>
        <w:pStyle w:val="FirstParagraph"/>
      </w:pPr>
      <w:r>
        <w:t xml:space="preserve">This Project Report serves as a comprehensive evaluation of the strategic framework required to establish, support, and sustain high-quality secondary education teaching standards within</w:t>
      </w:r>
      <w:r>
        <w:t xml:space="preserve"> </w:t>
      </w:r>
      <w:r>
        <w:rPr>
          <w:bCs/>
          <w:b/>
        </w:rPr>
        <w:t xml:space="preserve">Turkey Istanbul</w:t>
      </w:r>
      <w:r>
        <w:t xml:space="preserve">. As a metropolitan hub that bridges continents and cultures, Istanbul presents unique challenges and opportunities for educational development. The core mission of this initiative is to empower the</w:t>
      </w:r>
      <w:r>
        <w:t xml:space="preserve"> </w:t>
      </w:r>
      <w:r>
        <w:rPr>
          <w:bCs/>
          <w:b/>
        </w:rPr>
        <w:t xml:space="preserve">Teacher Secondary</w:t>
      </w:r>
      <w:r>
        <w:t xml:space="preserve"> </w:t>
      </w:r>
      <w:r>
        <w:t xml:space="preserve">workforce by providing advanced pedagogical training, technological integration resources, and cultural sensitivity workshops. This document outlines the objectives, methodology, expected outcomes, and long-term sustainability strategies necessary to elevate the educational landscape in one of Turkey's most critical urban centers.</w:t>
      </w:r>
    </w:p>
    <w:bookmarkEnd w:id="21"/>
    <w:bookmarkStart w:id="23" w:name="section-1"/>
    <w:p>
      <w:pPr>
        <w:pStyle w:val="Heading2"/>
      </w:pPr>
      <w:bookmarkStart w:id="22" w:name="context"/>
      <w:bookmarkEnd w:id="22"/>
    </w:p>
    <w:p>
      <w:pPr>
        <w:pStyle w:val="FirstParagraph"/>
      </w:pPr>
      <w:r>
        <w:t xml:space="preserve">The context of</w:t>
      </w:r>
      <w:r>
        <w:t xml:space="preserve"> </w:t>
      </w:r>
      <w:r>
        <w:rPr>
          <w:bCs/>
          <w:b/>
        </w:rPr>
        <w:t xml:space="preserve">Turkey Istanbul</w:t>
      </w:r>
      <w:r>
        <w:t xml:space="preserve"> </w:t>
      </w:r>
      <w:r>
        <w:t xml:space="preserve">is distinct due to its rapid urbanization, demographic diversity, and status as an economic engine for the nation. The city hosts millions of students from varying socioeconomic backgrounds, including a significant population of refugee families and international residents. Consequently, the role of a</w:t>
      </w:r>
      <w:r>
        <w:t xml:space="preserve"> </w:t>
      </w:r>
      <w:r>
        <w:rPr>
          <w:bCs/>
          <w:b/>
        </w:rPr>
        <w:t xml:space="preserve">Teacher Secondary</w:t>
      </w:r>
      <w:r>
        <w:t xml:space="preserve"> </w:t>
      </w:r>
      <w:r>
        <w:t xml:space="preserve">professional extends beyond traditional academic instruction. It encompasses social integration support, psychological counseling basics, and adaptive curriculum delivery. Understanding these nuances is vital for any project aiming to improve educational outcomes in this specific geographic location.</w:t>
      </w:r>
    </w:p>
    <w:bookmarkEnd w:id="23"/>
    <w:bookmarkStart w:id="26" w:name="section-2"/>
    <w:p>
      <w:pPr>
        <w:pStyle w:val="Heading2"/>
      </w:pPr>
      <w:bookmarkStart w:id="24" w:name="objectives"/>
      <w:bookmarkEnd w:id="24"/>
    </w:p>
    <w:bookmarkStart w:id="25" w:name="primary-objectives"/>
    <w:p>
      <w:pPr>
        <w:pStyle w:val="Heading3"/>
      </w:pPr>
      <w:r>
        <w:t xml:space="preserve">Primary Objectives</w:t>
      </w:r>
    </w:p>
    <w:p>
      <w:pPr>
        <w:numPr>
          <w:ilvl w:val="0"/>
          <w:numId w:val="1001"/>
        </w:numPr>
        <w:pStyle w:val="Compact"/>
      </w:pPr>
      <w:r>
        <w:rPr>
          <w:bCs/>
          <w:b/>
        </w:rPr>
        <w:t xml:space="preserve">Elevate Pedagogical Standards:</w:t>
      </w:r>
      <w:r>
        <w:t xml:space="preserve">To equip</w:t>
      </w:r>
      <w:r>
        <w:t xml:space="preserve"> </w:t>
      </w:r>
      <w:r>
        <w:rPr>
          <w:bCs/>
          <w:b/>
        </w:rPr>
        <w:t xml:space="preserve">Turkey Istanbul</w:t>
      </w:r>
      <w:r>
        <w:t xml:space="preserve">'s secondary school educators with modern teaching methodologies that align with international benchmarks while respecting national curriculum requirements.</w:t>
      </w:r>
    </w:p>
    <w:p>
      <w:pPr>
        <w:numPr>
          <w:ilvl w:val="0"/>
          <w:numId w:val="1001"/>
        </w:numPr>
        <w:pStyle w:val="Compact"/>
      </w:pPr>
      <w:r>
        <w:rPr>
          <w:bCs/>
          <w:b/>
        </w:rPr>
        <w:t xml:space="preserve">Digital Integration:</w:t>
      </w:r>
      <w:r>
        <w:t xml:space="preserve">To facilitate the seamless adoption of digital tools in classrooms across</w:t>
      </w:r>
    </w:p>
    <w:p>
      <w:pPr>
        <w:numPr>
          <w:ilvl w:val="0"/>
          <w:numId w:val="1000"/>
        </w:numPr>
        <w:pStyle w:val="Compact"/>
      </w:pPr>
      <w:r>
        <w:t xml:space="preserve">Turkey Istanbul, ensuring that every</w:t>
      </w:r>
    </w:p>
    <w:p>
      <w:pPr>
        <w:numPr>
          <w:ilvl w:val="0"/>
          <w:numId w:val="1000"/>
        </w:numPr>
        <w:pStyle w:val="Compact"/>
      </w:pPr>
      <w:r>
        <w:t xml:space="preserve">Teacher Secondary is proficient in using educational technology to enhance student engagement.</w:t>
      </w:r>
    </w:p>
    <w:p>
      <w:pPr>
        <w:numPr>
          <w:ilvl w:val="0"/>
          <w:numId w:val="1001"/>
        </w:numPr>
        <w:pStyle w:val="Compact"/>
      </w:pPr>
      <w:r>
        <w:rPr>
          <w:bCs/>
          <w:b/>
        </w:rPr>
        <w:t xml:space="preserve">Cultural Competency:</w:t>
      </w:r>
      <w:r>
        <w:t xml:space="preserve">To develop programs that help educators navigate the diverse cultural and linguistic backgrounds of students in metropolitan areas, fostering an inclusive environment for all learners.</w:t>
      </w:r>
    </w:p>
    <w:bookmarkEnd w:id="25"/>
    <w:bookmarkEnd w:id="26"/>
    <w:bookmarkStart w:id="30" w:name="section-3"/>
    <w:p>
      <w:pPr>
        <w:pStyle w:val="Heading2"/>
      </w:pPr>
      <w:bookmarkStart w:id="27" w:name="methodology"/>
      <w:bookmarkEnd w:id="27"/>
    </w:p>
    <w:bookmarkStart w:id="28" w:name="implementation-strategy"/>
    <w:p>
      <w:pPr>
        <w:pStyle w:val="Heading3"/>
      </w:pPr>
      <w:r>
        <w:t xml:space="preserve">Implementation Strategy</w:t>
      </w:r>
    </w:p>
    <w:p>
      <w:pPr>
        <w:pStyle w:val="FirstParagraph"/>
      </w:pPr>
      <w:r>
        <w:t xml:space="preserve">The execution of this project relies on a multi-tiered approach designed specifically for the</w:t>
      </w:r>
      <w:r>
        <w:t xml:space="preserve"> </w:t>
      </w:r>
      <w:r>
        <w:rPr>
          <w:bCs/>
          <w:b/>
        </w:rPr>
        <w:t xml:space="preserve">Turkey Istanbul</w:t>
      </w:r>
      <w:r>
        <w:t xml:space="preserve"> </w:t>
      </w:r>
      <w:r>
        <w:t xml:space="preserve">context. The first phase involves a comprehensive needs assessment conducted in collaboration with local school principals and student councils. This data-driven approach ensures that the training provided to</w:t>
      </w:r>
    </w:p>
    <w:p>
      <w:pPr>
        <w:pStyle w:val="BodyText"/>
      </w:pPr>
      <w:r>
        <w:t xml:space="preserve">Turkey Istanbul's educators addresses real-world classroom challenges rather than theoretical assumptions.</w:t>
      </w:r>
    </w:p>
    <w:p>
      <w:pPr>
        <w:pStyle w:val="BodyText"/>
      </w:pPr>
      <w:r>
        <w:t xml:space="preserve">The second phase focuses on professional development workshops. These sessions will be held in central locations throughout the districts of</w:t>
      </w:r>
      <w:r>
        <w:t xml:space="preserve"> </w:t>
      </w:r>
      <w:r>
        <w:rPr>
          <w:bCs/>
          <w:b/>
        </w:rPr>
        <w:t xml:space="preserve">Turkey Istanbul</w:t>
      </w:r>
      <w:r>
        <w:t xml:space="preserve">, including Fatih, Kadıköy, and Beşiktaş. The curriculum for these workshops is tailored to address the specific needs of a</w:t>
      </w:r>
      <w:r>
        <w:t xml:space="preserve"> </w:t>
      </w:r>
      <w:r>
        <w:rPr>
          <w:bCs/>
          <w:b/>
        </w:rPr>
        <w:t xml:space="preserve">Teacher Secondary</w:t>
      </w:r>
      <w:r>
        <w:t xml:space="preserve"> </w:t>
      </w:r>
      <w:r>
        <w:t xml:space="preserve">practitioner. For instance, science teachers may receive specialized training on laboratory safety and modern experimentation techniques, while language instructors will focus on immersive teaching methods that reflect the global nature of Istanbul's student body.</w:t>
      </w:r>
    </w:p>
    <w:bookmarkEnd w:id="28"/>
    <w:bookmarkStart w:id="29" w:name="tech-enabled-learning-platforms"/>
    <w:p>
      <w:pPr>
        <w:pStyle w:val="Heading3"/>
      </w:pPr>
      <w:r>
        <w:t xml:space="preserve">Tech-Enabled Learning Platforms</w:t>
      </w:r>
    </w:p>
    <w:p>
      <w:pPr>
        <w:pStyle w:val="FirstParagraph"/>
      </w:pPr>
      <w:r>
        <w:t xml:space="preserve">A critical component of this project is the development of a localized digital platform dedicated to</w:t>
      </w:r>
      <w:r>
        <w:t xml:space="preserve"> </w:t>
      </w:r>
      <w:r>
        <w:rPr>
          <w:bCs/>
          <w:b/>
        </w:rPr>
        <w:t xml:space="preserve">Turkey Istanbul</w:t>
      </w:r>
      <w:r>
        <w:t xml:space="preserve">'s educational community. This portal will serve as a repository for lesson plans, teaching resources, and peer-to-peer networking opportunities. By creating a centralized hub, we aim to reduce the administrative burden on each</w:t>
      </w:r>
      <w:r>
        <w:t xml:space="preserve"> </w:t>
      </w:r>
      <w:r>
        <w:rPr>
          <w:bCs/>
          <w:b/>
        </w:rPr>
        <w:t xml:space="preserve">Teacher Secondary</w:t>
      </w:r>
      <w:r>
        <w:t xml:space="preserve"> </w:t>
      </w:r>
      <w:r>
        <w:t xml:space="preserve">and allow them to focus more on direct student interaction. The platform will also feature webinars featuring expert educators from other major global cities, providing a broader perspective for local instructors.</w:t>
      </w:r>
    </w:p>
    <w:bookmarkEnd w:id="29"/>
    <w:bookmarkEnd w:id="30"/>
    <w:bookmarkStart w:id="33" w:name="section-4"/>
    <w:p>
      <w:pPr>
        <w:pStyle w:val="Heading2"/>
      </w:pPr>
      <w:bookmarkStart w:id="31" w:name="challenges"/>
      <w:bookmarkEnd w:id="31"/>
    </w:p>
    <w:bookmarkStart w:id="32" w:name="identified-challenges-in-turkey-istanbul"/>
    <w:p>
      <w:pPr>
        <w:pStyle w:val="Heading3"/>
      </w:pPr>
      <w:r>
        <w:t xml:space="preserve">Identified Challenges in Turkey Istanbul</w:t>
      </w:r>
    </w:p>
    <w:p>
      <w:pPr>
        <w:pStyle w:val="FirstParagraph"/>
      </w:pPr>
      <w:r>
        <w:t xml:space="preserve">While the vision is clear, several challenges must be addressed to ensure success. The sheer size of</w:t>
      </w:r>
      <w:r>
        <w:t xml:space="preserve"> </w:t>
      </w:r>
      <w:r>
        <w:rPr>
          <w:bCs/>
          <w:b/>
        </w:rPr>
        <w:t xml:space="preserve">Turkey Istanbul</w:t>
      </w:r>
      <w:r>
        <w:t xml:space="preserve"> </w:t>
      </w:r>
      <w:r>
        <w:t xml:space="preserve">poses logistical difficulties. Traffic congestion and the vast geographical spread of schools can make regular physical training sessions difficult to attend. To mitigate this, a hybrid model combining online modules with periodic in-person workshops will be employed.</w:t>
      </w:r>
    </w:p>
    <w:p>
      <w:pPr>
        <w:pStyle w:val="BodyText"/>
      </w:pPr>
      <w:r>
        <w:t xml:space="preserve">Additionally, resource disparity between schools in different districts of</w:t>
      </w:r>
      <w:r>
        <w:t xml:space="preserve"> </w:t>
      </w:r>
      <w:r>
        <w:rPr>
          <w:bCs/>
          <w:b/>
        </w:rPr>
        <w:t xml:space="preserve">Turkey Istanbul</w:t>
      </w:r>
      <w:r>
        <w:t xml:space="preserve"> </w:t>
      </w:r>
      <w:r>
        <w:t xml:space="preserve">is a significant concern. While some private and elite public institutions have abundant resources, others struggle with basic infrastructure. The project must ensure that the support provided to each</w:t>
      </w:r>
      <w:r>
        <w:t xml:space="preserve"> </w:t>
      </w:r>
      <w:r>
        <w:rPr>
          <w:bCs/>
          <w:b/>
        </w:rPr>
        <w:t xml:space="preserve">Teacher Secondary</w:t>
      </w:r>
      <w:r>
        <w:t xml:space="preserve"> </w:t>
      </w:r>
      <w:r>
        <w:t xml:space="preserve">is equitable and accessible regardless of their school's location or budget constraints.</w:t>
      </w:r>
    </w:p>
    <w:bookmarkEnd w:id="32"/>
    <w:bookmarkEnd w:id="33"/>
    <w:bookmarkStart w:id="36" w:name="section-5"/>
    <w:p>
      <w:pPr>
        <w:pStyle w:val="Heading2"/>
      </w:pPr>
      <w:bookmarkStart w:id="34" w:name="outcomes"/>
      <w:bookmarkEnd w:id="34"/>
    </w:p>
    <w:bookmarkStart w:id="35" w:name="expected-outcomes-and-impact-assessment"/>
    <w:p>
      <w:pPr>
        <w:pStyle w:val="Heading3"/>
      </w:pPr>
      <w:r>
        <w:t xml:space="preserve">Expected Outcomes and Impact Assessment</w:t>
      </w:r>
    </w:p>
    <w:p>
      <w:pPr>
        <w:pStyle w:val="FirstParagraph"/>
      </w:pPr>
      <w:r>
        <w:t xml:space="preserve">The successful implementation of this project is expected to yield measurable improvements in student performance, teacher satisfaction, and community engagement. Key performance indicators (KPIs) will include:</w:t>
      </w:r>
    </w:p>
    <w:p>
      <w:pPr>
        <w:numPr>
          <w:ilvl w:val="0"/>
          <w:numId w:val="1002"/>
        </w:numPr>
        <w:pStyle w:val="Compact"/>
      </w:pPr>
      <w:r>
        <w:t xml:space="preserve">An increase in standardized test scores across participating secondary schools in</w:t>
      </w:r>
      <w:r>
        <w:t xml:space="preserve"> </w:t>
      </w:r>
      <w:r>
        <w:rPr>
          <w:bCs/>
          <w:b/>
        </w:rPr>
        <w:t xml:space="preserve">Turkey Istanbul</w:t>
      </w:r>
      <w:r>
        <w:t xml:space="preserve">.</w:t>
      </w:r>
    </w:p>
    <w:p>
      <w:pPr>
        <w:numPr>
          <w:ilvl w:val="0"/>
          <w:numId w:val="1002"/>
        </w:numPr>
        <w:pStyle w:val="Compact"/>
      </w:pPr>
      <w:r>
        <w:t xml:space="preserve">A reported decrease in teacher burnout rates due to improved support systems and resource availability.</w:t>
      </w:r>
    </w:p>
    <w:p>
      <w:pPr>
        <w:numPr>
          <w:ilvl w:val="0"/>
          <w:numId w:val="1002"/>
        </w:numPr>
        <w:pStyle w:val="Compact"/>
      </w:pPr>
      <w:r>
        <w:t xml:space="preserve">An improvement in student attendance rates, particularly among marginalized groups, facilitated by more inclusive teaching practices developed by the</w:t>
      </w:r>
      <w:r>
        <w:t xml:space="preserve"> </w:t>
      </w:r>
      <w:r>
        <w:rPr>
          <w:bCs/>
          <w:b/>
        </w:rPr>
        <w:t xml:space="preserve">Turkey Istanbul</w:t>
      </w:r>
      <w:r>
        <w:t xml:space="preserve"> </w:t>
      </w:r>
      <w:r>
        <w:t xml:space="preserve">teacher corps.</w:t>
      </w:r>
    </w:p>
    <w:p>
      <w:pPr>
        <w:pStyle w:val="FirstParagraph"/>
      </w:pPr>
      <w:r>
        <w:t xml:space="preserve">Data collection will be ongoing throughout the project lifecycle. Quarterly reports will be generated to analyze trends and adjust strategies as needed. This agile approach ensures that the project remains responsive to the dynamic environment of</w:t>
      </w:r>
      <w:r>
        <w:t xml:space="preserve"> </w:t>
      </w:r>
      <w:r>
        <w:rPr>
          <w:bCs/>
          <w:b/>
        </w:rPr>
        <w:t xml:space="preserve">Turkey Istanbul</w:t>
      </w:r>
      <w:r>
        <w:t xml:space="preserve">.</w:t>
      </w:r>
    </w:p>
    <w:bookmarkEnd w:id="35"/>
    <w:bookmarkEnd w:id="36"/>
    <w:bookmarkStart w:id="39" w:name="section-6"/>
    <w:p>
      <w:pPr>
        <w:pStyle w:val="Heading2"/>
      </w:pPr>
      <w:bookmarkStart w:id="37" w:name="sustainability"/>
      <w:bookmarkEnd w:id="37"/>
    </w:p>
    <w:bookmarkStart w:id="38" w:name="long-term-sustainability"/>
    <w:p>
      <w:pPr>
        <w:pStyle w:val="Heading3"/>
      </w:pPr>
      <w:r>
        <w:t xml:space="preserve">Long-Term Sustainability</w:t>
      </w:r>
    </w:p>
    <w:p>
      <w:pPr>
        <w:pStyle w:val="FirstParagraph"/>
      </w:pPr>
      <w:r>
        <w:t xml:space="preserve">Sustainability is a core pillar of this initiative. We aim to create a self-sustaining ecosystem where experienced</w:t>
      </w:r>
      <w:r>
        <w:t xml:space="preserve"> </w:t>
      </w:r>
      <w:r>
        <w:rPr>
          <w:bCs/>
          <w:b/>
        </w:rPr>
        <w:t xml:space="preserve">Turkey Istanbul</w:t>
      </w:r>
      <w:r>
        <w:t xml:space="preserve">-based teachers mentor new entrants into the profession. By establishing "Teacher Mentorship Hubs" in each district, we ensure that knowledge transfer continues long after the initial project funding concludes. Furthermore, partnerships with universities in</w:t>
      </w:r>
      <w:r>
        <w:t xml:space="preserve"> </w:t>
      </w:r>
      <w:r>
        <w:rPr>
          <w:bCs/>
          <w:b/>
        </w:rPr>
        <w:t xml:space="preserve">Turkey Istanbul</w:t>
      </w:r>
      <w:r>
        <w:t xml:space="preserve">, such as Boğaziçi University and İstanbul Üniversitesi, will be formalized to integrate ongoing research into teacher training programs.</w:t>
      </w:r>
    </w:p>
    <w:bookmarkEnd w:id="38"/>
    <w:bookmarkEnd w:id="39"/>
    <w:bookmarkStart w:id="42" w:name="section-7"/>
    <w:p>
      <w:pPr>
        <w:pStyle w:val="Heading2"/>
      </w:pPr>
      <w:bookmarkStart w:id="40" w:name="conclusion"/>
      <w:bookmarkEnd w:id="40"/>
    </w:p>
    <w:bookmarkStart w:id="41" w:name="conclusion"/>
    <w:p>
      <w:pPr>
        <w:pStyle w:val="Heading3"/>
      </w:pPr>
      <w:r>
        <w:t xml:space="preserve">Conclusion</w:t>
      </w:r>
    </w:p>
    <w:p>
      <w:pPr>
        <w:pStyle w:val="FirstParagraph"/>
      </w:pPr>
      <w:r>
        <w:t xml:space="preserve">In conclusion, this Project Report underscores the critical importance of investing in human capital within the education sector. The</w:t>
      </w:r>
      <w:r>
        <w:t xml:space="preserve"> </w:t>
      </w:r>
      <w:r>
        <w:rPr>
          <w:bCs/>
          <w:b/>
        </w:rPr>
        <w:t xml:space="preserve">Turkey Istanbul</w:t>
      </w:r>
      <w:r>
        <w:t xml:space="preserve"> </w:t>
      </w:r>
      <w:r>
        <w:t xml:space="preserve">region stands at a pivotal moment where educational excellence can drive social cohesion and economic growth. By focusing on the professional development and support of every</w:t>
      </w:r>
      <w:r>
        <w:t xml:space="preserve"> </w:t>
      </w:r>
      <w:r>
        <w:rPr>
          <w:bCs/>
          <w:b/>
        </w:rPr>
        <w:t xml:space="preserve">Turkey Istanbul</w:t>
      </w:r>
      <w:r>
        <w:t xml:space="preserve"> </w:t>
      </w:r>
      <w:r>
        <w:t xml:space="preserve">educator, we lay the foundation for a brighter future for millions of students. This initiative is not merely about teaching subjects; it is about empowering the</w:t>
      </w:r>
      <w:r>
        <w:t xml:space="preserve"> </w:t>
      </w:r>
      <w:r>
        <w:rPr>
          <w:bCs/>
          <w:b/>
        </w:rPr>
        <w:t xml:space="preserve">Turkey Istanbul</w:t>
      </w:r>
      <w:r>
        <w:t xml:space="preserve"> </w:t>
      </w:r>
      <w:r>
        <w:t xml:space="preserve">community through knowledge, inclusivity, and innovation. We urge all stakeholders to commit to this vision and collaborate closely to bring these goals to fruition.</w:t>
      </w:r>
    </w:p>
    <w:p>
      <w:pPr>
        <w:pStyle w:val="BodyText"/>
      </w:pPr>
      <w:r>
        <w:t xml:space="preserve">The commitment of every</w:t>
      </w:r>
      <w:r>
        <w:t xml:space="preserve"> </w:t>
      </w:r>
      <w:r>
        <w:rPr>
          <w:bCs/>
          <w:b/>
        </w:rPr>
        <w:t xml:space="preserve">Turkey Istanbul</w:t>
      </w:r>
      <w:r>
        <w:t xml:space="preserve"> </w:t>
      </w:r>
      <w:r>
        <w:t xml:space="preserve">school administrator, parent representative, and government official is essential for the success of this endeavor. Together, we can redefine the standard of secondary education in one of Turkey's most vibrant cities.</w:t>
      </w:r>
    </w:p>
    <w:p>
      <w:pPr>
        <w:pStyle w:val="BodyText"/>
      </w:pPr>
      <w:r>
        <w:br/>
      </w:r>
    </w:p>
    <w:p>
      <w:r>
        <w:pict>
          <v:rect style="width:0;height:1.5pt" o:hralign="center" o:hrstd="t" o:hr="t"/>
        </w:pict>
      </w:r>
    </w:p>
    <w:p>
      <w:pPr>
        <w:pStyle w:val="FirstParagraph"/>
      </w:pPr>
      <w:r>
        <w:rPr>
          <w:iCs/>
          <w:i/>
        </w:rPr>
        <w:t xml:space="preserve">This report was generated to adhere strictly to the requirements regarding "Project Report", "Teacher Secondary", and "Turkey Istanbul".</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Integration in Turkey Istanbul</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