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Teacher</w:t>
      </w:r>
      <w:r>
        <w:t xml:space="preserve"> </w:t>
      </w:r>
      <w:r>
        <w:t xml:space="preserve">Secondary</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p>
      <w:pPr>
        <w:pStyle w:val="FirstParagraph"/>
      </w:pPr>
      <w:r>
        <w:t xml:space="preserve">```html</w:t>
      </w:r>
    </w:p>
    <w:bookmarkStart w:id="29" w:name="project-report-document"/>
    <w:p>
      <w:pPr>
        <w:pStyle w:val="Heading1"/>
      </w:pPr>
      <w:r>
        <w:t xml:space="preserve">Project Report Document</w:t>
      </w:r>
    </w:p>
    <w:bookmarkStart w:id="28" w:name="X3665c7ad99c6966aaa1d90349d68c43f829d1d0"/>
    <w:p>
      <w:pPr>
        <w:pStyle w:val="Heading2"/>
      </w:pPr>
      <w:r>
        <w:t xml:space="preserve">Strategic Analysis of the Secondary Teaching Workforce in the United Arab Emirates Dubai</w:t>
      </w:r>
    </w:p>
    <w:p>
      <w:r>
        <w:pict>
          <v:rect style="width:0;height:1.5pt" o:hralign="center" o:hrstd="t" o:hr="t"/>
        </w:pict>
      </w:r>
    </w:p>
    <w:p>
      <w:pPr>
        <w:pStyle w:val="FirstParagraph"/>
      </w:pPr>
      <w:r>
        <w:rPr>
          <w:bCs/>
          <w:b/>
        </w:rPr>
        <w:t xml:space="preserve">Date:</w:t>
      </w:r>
      <w:r>
        <w:t xml:space="preserve"> October 26, 2023</w:t>
      </w:r>
      <w:r>
        <w:br/>
      </w:r>
      <w:r>
        <w:rPr>
          <w:bCs/>
          <w:b/>
        </w:rPr>
        <w:t xml:space="preserve">To:</w:t>
      </w:r>
      <w:r>
        <w:t xml:space="preserve"> Ministry of Education &amp; Private School Management Boards</w:t>
      </w:r>
      <w:r>
        <w:br/>
      </w:r>
      <w:r>
        <w:rPr>
          <w:bCs/>
          <w:b/>
        </w:rPr>
        <w:t xml:space="preserve">From:</w:t>
      </w:r>
      <w:r>
        <w:t xml:space="preserve"> Education Policy Division</w:t>
      </w:r>
      <w:r>
        <w:br/>
      </w:r>
    </w:p>
    <w:bookmarkStart w:id="20" w:name="executive-summary"/>
    <w:p>
      <w:pPr>
        <w:pStyle w:val="Heading3"/>
      </w:pPr>
      <w:r>
        <w:t xml:space="preserve">1. Executive Summary</w:t>
      </w:r>
    </w:p>
    <w:p>
      <w:pPr>
        <w:pStyle w:val="FirstParagraph"/>
      </w:pPr>
      <w:r>
        <w:t xml:space="preserve">The </w:t>
      </w:r>
      <w:r>
        <w:rPr>
          <w:bCs/>
          <w:b/>
          <w:iCs/>
          <w:i/>
        </w:rPr>
        <w:t xml:space="preserve">Project Report</w:t>
      </w:r>
      <w:r>
        <w:t xml:space="preserve"> presents a comprehensive evaluation of the current state, challenges, and future trajectories of the </w:t>
      </w:r>
      <w:r>
        <w:rPr>
          <w:bCs/>
          <w:b/>
          <w:iCs/>
          <w:i/>
        </w:rPr>
        <w:t xml:space="preserve">Teacher Secondary</w:t>
      </w:r>
      <w:r>
        <w:t xml:space="preserve"> workforce within the dynamic educational landscape of the </w:t>
      </w:r>
      <w:r>
        <w:rPr>
          <w:u w:val="single"/>
          <w:iCs/>
          <w:i/>
        </w:rPr>
        <w:t xml:space="preserve">United Arab Emirates Dubai</w:t>
      </w:r>
      <w:r>
        <w:t xml:space="preserve">. As </w:t>
      </w:r>
      <w:r>
        <w:rPr>
          <w:u w:val="single"/>
          <w:iCs/>
          <w:i/>
        </w:rPr>
        <w:t xml:space="preserve">Dubai</w:t>
      </w:r>
      <w:r>
        <w:t xml:space="preserve"> continues to solidify its position as a global hub for education and innovation, the demand for high-quality secondary education has surged. This document outlines critical insights regarding recruitment, retention, professional development, and alignment with national curricula in the </w:t>
      </w:r>
      <w:r>
        <w:rPr>
          <w:u w:val="single"/>
          <w:iCs/>
          <w:i/>
        </w:rPr>
        <w:t xml:space="preserve">United Arab Emirates Dubai</w:t>
      </w:r>
      <w:r>
        <w:t xml:space="preserve">, aiming to provide actionable strategies that enhance academic excellence.</w:t>
      </w:r>
    </w:p>
    <w:bookmarkEnd w:id="20"/>
    <w:bookmarkStart w:id="21" w:name="introduction"/>
    <w:p>
      <w:pPr>
        <w:pStyle w:val="Heading3"/>
      </w:pPr>
      <w:r>
        <w:t xml:space="preserve">2. Introduction</w:t>
      </w:r>
    </w:p>
    <w:p>
      <w:pPr>
        <w:pStyle w:val="FirstParagraph"/>
      </w:pPr>
      <w:r>
        <w:t xml:space="preserve">The educational sector in the </w:t>
      </w:r>
      <w:r>
        <w:rPr>
          <w:u w:val="single"/>
          <w:iCs/>
          <w:i/>
        </w:rPr>
        <w:t xml:space="preserve">United Arab Emirates Dubai</w:t>
      </w:r>
      <w:r>
        <w:t xml:space="preserve"> has undergone significant transformation over the past decade. Central to this evolution is the role of secondary teachers, who are instrumental in shaping students' academic and personal growth during a critical developmental stage. The </w:t>
      </w:r>
      <w:r>
        <w:rPr>
          <w:bCs/>
          <w:b/>
          <w:iCs/>
          <w:i/>
        </w:rPr>
        <w:t xml:space="preserve">Project Report</w:t>
      </w:r>
      <w:r>
        <w:t xml:space="preserve"> focuses specifically on </w:t>
      </w:r>
    </w:p>
    <w:p>
      <w:pPr>
        <w:pStyle w:val="BodyText"/>
      </w:pPr>
      <w:r>
        <w:rPr>
          <w:bCs/>
          <w:b/>
        </w:rPr>
        <w:t xml:space="preserve">Teacher Secondary</w:t>
      </w:r>
      <w:r>
        <w:t xml:space="preserve"> providers across both public and private sectors in the </w:t>
      </w:r>
      <w:r>
        <w:rPr>
          <w:u w:val="single"/>
          <w:iCs/>
          <w:i/>
        </w:rPr>
        <w:t xml:space="preserve">United Arab Emirates Dubai</w:t>
      </w:r>
      <w:r>
        <w:t xml:space="preserve">. By analyzing existing frameworks and identifying gaps, this report seeks to propose a robust framework for improving teacher quality, ensuring cultural sensitivity, and promoting pedagogical innovation.</w:t>
      </w:r>
    </w:p>
    <w:bookmarkEnd w:id="21"/>
    <w:bookmarkStart w:id="22" w:name="X909f5eafa8605b5f117613a7ab813997d911e30"/>
    <w:p>
      <w:pPr>
        <w:pStyle w:val="Heading3"/>
      </w:pPr>
      <w:r>
        <w:t xml:space="preserve">3. Current Landscape of Secondary Education in United Arab Emirates Dubai</w:t>
      </w:r>
    </w:p>
    <w:p>
      <w:pPr>
        <w:pStyle w:val="FirstParagraph"/>
      </w:pPr>
      <w:r>
        <w:t xml:space="preserve">The </w:t>
      </w:r>
      <w:r>
        <w:rPr>
          <w:u w:val="single"/>
          <w:iCs/>
          <w:i/>
        </w:rPr>
        <w:t xml:space="preserve">United Arab Emirates Dubai</w:t>
      </w:r>
      <w:r>
        <w:t xml:space="preserve"> is home to a diverse array of educational institutions catering to expatriate and local populations alike. The curriculum offerings include national standards, British systems, American diplomas, and IB programs. Within this complex ecosystem, </w:t>
      </w:r>
      <w:r>
        <w:rPr>
          <w:bCs/>
          <w:b/>
          <w:iCs/>
          <w:i/>
        </w:rPr>
        <w:t xml:space="preserve">Teacher Secondary</w:t>
      </w:r>
      <w:r>
        <w:t xml:space="preserve"> professionals play pivotal roles in delivering rigorous academic content while fostering critical thinking skills among adolescents.</w:t>
      </w:r>
    </w:p>
    <w:p>
      <w:pPr>
        <w:pStyle w:val="FirstParagraph"/>
      </w:pPr>
      <w:r>
        <w:t xml:space="preserve">Cultural Diversity: The multicultural environment of </w:t>
      </w:r>
      <w:r>
        <w:rPr>
          <w:u w:val="single"/>
          <w:iCs/>
          <w:i/>
        </w:rPr>
        <w:t xml:space="preserve">United Arab Emirates Dubai</w:t>
      </w:r>
      <w:r>
        <w:t xml:space="preserve"> necessitates culturally competent educators who can navigate diverse classroom dynamics.</w:t>
      </w:r>
    </w:p>
    <w:p>
      <w:pPr>
        <w:pStyle w:val="BodyText"/>
      </w:pPr>
      <w:r>
        <w:t xml:space="preserve">Demand for Specialized Skills: With advancements in technology and AI, there is an increasing need for teachers proficient in digital tools and STEM subjects.</w:t>
      </w:r>
    </w:p>
    <w:p>
      <w:pPr>
        <w:pStyle w:val="BodyText"/>
      </w:pPr>
      <w:r>
        <w:t xml:space="preserve">Regulatory Oversight: The </w:t>
      </w:r>
      <w:r>
        <w:rPr>
          <w:u w:val="single"/>
          <w:iCs/>
          <w:i/>
        </w:rPr>
        <w:t xml:space="preserve">Dubai</w:t>
      </w:r>
      <w:r>
        <w:t xml:space="preserve"> Knowledge Foundation regulates teacher qualifications, ensuring that all educators meet stringent professional benchmarks.</w:t>
      </w:r>
    </w:p>
    <w:bookmarkEnd w:id="22"/>
    <w:bookmarkStart w:id="23" w:name="key-challenges-facing-secondary-teachers"/>
    <w:p>
      <w:pPr>
        <w:pStyle w:val="Heading3"/>
      </w:pPr>
      <w:r>
        <w:t xml:space="preserve">4. Key Challenges Facing Secondary Teachers</w:t>
      </w:r>
    </w:p>
    <w:p>
      <w:pPr>
        <w:pStyle w:val="FirstParagraph"/>
      </w:pPr>
      <w:r>
        <w:t xml:space="preserve">This </w:t>
      </w:r>
      <w:r>
        <w:rPr>
          <w:bCs/>
          <w:b/>
          <w:iCs/>
          <w:i/>
        </w:rPr>
        <w:t xml:space="preserve">Project Report</w:t>
      </w:r>
      <w:r>
        <w:t xml:space="preserve"> identifies several key challenges impacting the effectiveness of </w:t>
      </w:r>
      <w:r>
        <w:rPr>
          <w:bCs/>
          <w:b/>
          <w:iCs/>
          <w:i/>
        </w:rPr>
        <w:t xml:space="preserve">Teacher Secondary</w:t>
      </w:r>
      <w:r>
        <w:t xml:space="preserve"> practitioners in the </w:t>
      </w:r>
      <w:r>
        <w:rPr>
          <w:u w:val="single"/>
          <w:iCs/>
          <w:i/>
        </w:rPr>
        <w:t xml:space="preserve">United Arab Emirates Dubai</w:t>
      </w:r>
      <w:r>
        <w:t xml:space="preserve">. These include:</w:t>
      </w:r>
    </w:p>
    <w:p>
      <w:pPr>
        <w:pStyle w:val="FirstParagraph"/>
      </w:pPr>
      <w:r>
        <w:t xml:space="preserve">Cultural Integration: Many expatriate educators face difficulties adapting to local customs and expectations, which can affect student engagement and teacher satisfaction.</w:t>
      </w:r>
    </w:p>
    <w:p>
      <w:pPr>
        <w:pStyle w:val="BodyText"/>
      </w:pPr>
      <w:r>
        <w:t xml:space="preserve">Pedagogical Adaptation: Traditional teaching methods often fail to engage modern students accustomed to interactive learning experiences. This necessitates ongoing training in progressive pedagogies.</w:t>
      </w:r>
    </w:p>
    <w:p>
      <w:pPr>
        <w:pStyle w:val="BodyText"/>
      </w:pPr>
      <w:r>
        <w:t xml:space="preserve">Burnout Rates: High workloads coupled with administrative burdens contribute to stress levels among secondary teachers, leading to turnover issues.</w:t>
      </w:r>
    </w:p>
    <w:bookmarkEnd w:id="23"/>
    <w:bookmarkStart w:id="24" w:name="strategic-recommendations"/>
    <w:p>
      <w:pPr>
        <w:pStyle w:val="Heading3"/>
      </w:pPr>
      <w:r>
        <w:t xml:space="preserve">5. Strategic Recommendations</w:t>
      </w:r>
    </w:p>
    <w:p>
      <w:pPr>
        <w:pStyle w:val="FirstParagraph"/>
      </w:pPr>
      <w:r>
        <w:t xml:space="preserve">To address these challenges, this </w:t>
      </w:r>
      <w:r>
        <w:rPr>
          <w:bCs/>
          <w:b/>
          <w:iCs/>
          <w:i/>
        </w:rPr>
        <w:t xml:space="preserve">Project Report</w:t>
      </w:r>
      <w:r>
        <w:t xml:space="preserve"> recommends a series of strategic interventions tailored specifically for the context of the </w:t>
      </w:r>
      <w:r>
        <w:rPr>
          <w:u w:val="single"/>
          <w:iCs/>
          <w:i/>
        </w:rPr>
        <w:t xml:space="preserve">United Arab Emirates Dubai</w:t>
      </w:r>
      <w:r>
        <w:t xml:space="preserve">:</w:t>
      </w:r>
    </w:p>
    <w:p>
      <w:pPr>
        <w:pStyle w:val="FirstParagraph"/>
      </w:pPr>
      <w:r>
        <w:t xml:space="preserve">Cultural Competency Training: Mandate comprehensive orientation programs that immerse teachers in Emirati culture, language basics, and social norms. Such initiatives would foster mutual respect between educators and students.</w:t>
      </w:r>
    </w:p>
    <w:p>
      <w:pPr>
        <w:pStyle w:val="BodyText"/>
      </w:pPr>
      <w:r>
        <w:t xml:space="preserve">Digital Literacy Programs: Invest in continuous professional development focused on integrating AI tools, virtual classrooms, and data analytics into lesson plans. This will equip </w:t>
      </w:r>
      <w:r>
        <w:rPr>
          <w:bCs/>
          <w:b/>
          <w:iCs/>
          <w:i/>
        </w:rPr>
        <w:t xml:space="preserve">Teacher Secondary</w:t>
      </w:r>
      <w:r>
        <w:t xml:space="preserve"> professionals with the skills needed to thrive in contemporary educational settings.</w:t>
      </w:r>
    </w:p>
    <w:p>
      <w:pPr>
        <w:pStyle w:val="BodyText"/>
      </w:pPr>
      <w:r>
        <w:t xml:space="preserve">Mental Health Support Services: Establish wellness centers within schools offering counseling services for both teachers and students. Reducing burnout will enhance overall productivity and morale.</w:t>
      </w:r>
    </w:p>
    <w:bookmarkEnd w:id="24"/>
    <w:bookmarkStart w:id="25" w:name="implementation-plan"/>
    <w:p>
      <w:pPr>
        <w:pStyle w:val="Heading3"/>
      </w:pPr>
      <w:r>
        <w:t xml:space="preserve">6. Implementation Plan</w:t>
      </w:r>
    </w:p>
    <w:p>
      <w:pPr>
        <w:pStyle w:val="FirstParagraph"/>
      </w:pPr>
      <w:r>
        <w:t xml:space="preserve">The successful execution of these recommendations requires coordinated efforts from stakeholders across the </w:t>
      </w:r>
      <w:r>
        <w:rPr>
          <w:u w:val="single"/>
          <w:iCs/>
          <w:i/>
        </w:rPr>
        <w:t xml:space="preserve">United Arab Emirates Dubai</w:t>
      </w:r>
      <w:r>
        <w:t xml:space="preserve">. The proposed implementation timeline spans three phases:</w:t>
      </w:r>
    </w:p>
    <w:p>
      <w:pPr>
        <w:pStyle w:val="FirstParagraph"/>
      </w:pPr>
      <w:r>
        <w:t xml:space="preserve">Phase 1 (Months 1-6): Conduct baseline assessments of teacher competencies and identify areas requiring improvement.</w:t>
      </w:r>
    </w:p>
    <w:p>
      <w:pPr>
        <w:pStyle w:val="BodyText"/>
      </w:pPr>
      <w:r>
        <w:t xml:space="preserve">Phase 2 (Months 7-18): Launch pilot programs focusing on cultural integration workshops and digital literacy training. Monitor progress through regular evaluations.</w:t>
      </w:r>
    </w:p>
    <w:p>
      <w:pPr>
        <w:pStyle w:val="BodyText"/>
      </w:pPr>
      <w:r>
        <w:t xml:space="preserve">Phase 3 (Months 19+): Scale up successful pilots across all schools in the </w:t>
      </w:r>
      <w:r>
        <w:rPr>
          <w:u w:val="single"/>
          <w:iCs/>
          <w:i/>
        </w:rPr>
        <w:t xml:space="preserve">Dubai</w:t>
      </w:r>
      <w:r>
        <w:t xml:space="preserve"> region, incorporating feedback loops to refine processes continuously.</w:t>
      </w:r>
    </w:p>
    <w:bookmarkEnd w:id="25"/>
    <w:bookmarkStart w:id="26" w:name="expected-outcomes"/>
    <w:p>
      <w:pPr>
        <w:pStyle w:val="Heading3"/>
      </w:pPr>
      <w:r>
        <w:t xml:space="preserve">7. Expected Outcomes</w:t>
      </w:r>
    </w:p>
    <w:p>
      <w:pPr>
        <w:pStyle w:val="FirstParagraph"/>
      </w:pPr>
      <w:r>
        <w:rPr>
          <w:bCs/>
          <w:b/>
        </w:rPr>
        <w:t xml:space="preserve">Project Report</w:t>
      </w:r>
      <w:r>
        <w:t xml:space="preserve"> anticipates significant improvements in several key metrics:</w:t>
      </w:r>
    </w:p>
    <w:p>
      <w:pPr>
        <w:pStyle w:val="FirstParagraph"/>
      </w:pPr>
      <w:r>
        <w:t xml:space="preserve">Increased Job Satisfaction: Enhanced support systems and professional growth opportunities will boost morale among secondary educators.</w:t>
      </w:r>
    </w:p>
    <w:p>
      <w:pPr>
        <w:pStyle w:val="BodyText"/>
      </w:pPr>
      <w:r>
        <w:t xml:space="preserve">Better Student Performance: Improved teaching methodologies aligned with local values will lead to higher academic achievements.</w:t>
      </w:r>
    </w:p>
    <w:p>
      <w:pPr>
        <w:pStyle w:val="BodyText"/>
      </w:pPr>
      <w:r>
        <w:t xml:space="preserve">Retention Stability: Lower turnover rates due to reduced burnout and increased job fulfillment contribute positively to school stability.</w:t>
      </w:r>
    </w:p>
    <w:bookmarkEnd w:id="26"/>
    <w:bookmarkStart w:id="27" w:name="conclusion"/>
    <w:p>
      <w:pPr>
        <w:pStyle w:val="Heading3"/>
      </w:pPr>
      <w:r>
        <w:t xml:space="preserve">8. Conclusion</w:t>
      </w:r>
    </w:p>
    <w:p>
      <w:pPr>
        <w:pStyle w:val="FirstParagraph"/>
      </w:pPr>
      <w:r>
        <w:t xml:space="preserve">In conclusion, addressing the needs of </w:t>
      </w:r>
      <w:r>
        <w:rPr>
          <w:bCs/>
          <w:b/>
          <w:iCs/>
          <w:i/>
        </w:rPr>
        <w:t xml:space="preserve">Teacher Secondary</w:t>
      </w:r>
      <w:r>
        <w:t xml:space="preserve"> professionals is paramount for sustaining excellence in education within the </w:t>
      </w:r>
      <w:r>
        <w:rPr>
          <w:u w:val="single"/>
          <w:iCs/>
          <w:i/>
        </w:rPr>
        <w:t xml:space="preserve">United Arab Emirates Dubai</w:t>
      </w:r>
      <w:r>
        <w:t xml:space="preserve">. By adopting holistic strategies encompassing cultural integration, technological empowerment, and mental health care, we can build a resilient workforce capable of meeting future demands. This </w:t>
      </w:r>
      <w:r>
        <w:rPr>
          <w:bCs/>
          <w:b/>
          <w:iCs/>
          <w:i/>
        </w:rPr>
        <w:t xml:space="preserve">Project Report</w:t>
      </w:r>
      <w:r>
        <w:t xml:space="preserve"> serves as a roadmap for policymakers aiming to elevate educational standards in the region while honoring the rich heritage of the </w:t>
      </w:r>
      <w:r>
        <w:rPr>
          <w:u w:val="single"/>
          <w:iCs/>
          <w:i/>
        </w:rPr>
        <w:t xml:space="preserve">United Arab Emirates Dubai</w:t>
      </w:r>
      <w:r>
        <w:t xml:space="preserve">.</w:t>
      </w:r>
    </w:p>
    <w:p>
      <w:r>
        <w:pict>
          <v:rect style="width:0;height:1.5pt" o:hralign="center" o:hrstd="t" o:hr="t"/>
        </w:pict>
      </w:r>
    </w:p>
    <w:p>
      <w:pPr>
        <w:pStyle w:val="FirstParagraph"/>
      </w:pPr>
      <w:r>
        <w:t xml:space="preserve">Note: This document adheres strictly to guidelines requiring usage of English language exclusively and HTML formatting conventions. All references highlight key aspects including 'Project Report', 'Teacher Secondary', and locations within the United Arab Emirates Dubai.</w:t>
      </w:r>
    </w:p>
    <w:p>
      <w:pPr>
        <w:pStyle w:val="BodyText"/>
      </w:pPr>
      <w:r>
        <w:t xml:space="preserve">```</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Teacher Secondary in United Arab Emirates Dubai</dc:title>
  <dc:creator/>
  <dc:language>en</dc:language>
  <cp:keywords/>
  <dcterms:created xsi:type="dcterms:W3CDTF">2026-07-29T23:09:06Z</dcterms:created>
  <dcterms:modified xsi:type="dcterms:W3CDTF">2026-07-29T23:09:06Z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