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Uzbekistan</w:t>
      </w:r>
      <w:r>
        <w:t xml:space="preserve"> </w:t>
      </w:r>
      <w:r>
        <w:t xml:space="preserve">Tashkent</w:t>
      </w:r>
    </w:p>
    <w:bookmarkStart w:id="20" w:name="X9b1045de6753d2390cbfb9932da995887e4cd98"/>
    <w:p>
      <w:pPr>
        <w:pStyle w:val="Heading1"/>
      </w:pPr>
      <w:r>
        <w:t xml:space="preserve">Project Report: Teacher Secondary in Uzbekistan Tashkent</w:t>
      </w:r>
    </w:p>
    <w:p>
      <w:pPr>
        <w:pStyle w:val="FirstParagraph"/>
      </w:pPr>
      <w:r>
        <w:rPr>
          <w:bCs/>
          <w:b/>
        </w:rPr>
        <w:t xml:space="preserve">Date:</w:t>
      </w:r>
      <w:r>
        <w:t xml:space="preserve"> </w:t>
      </w:r>
      <w:r>
        <w:t xml:space="preserve">October 24, 2023</w:t>
      </w:r>
      <w:r>
        <w:br/>
      </w:r>
      <w:r>
        <w:rPr>
          <w:bCs/>
          <w:b/>
        </w:rPr>
        <w:t xml:space="preserve">To:</w:t>
      </w:r>
    </w:p>
    <w:p>
      <w:pPr>
        <w:pStyle w:val="BodyText"/>
      </w:pPr>
      <w:r>
        <w:t xml:space="preserve">; Ministry of Public Education Republic Uzbekistan;</w:t>
      </w:r>
      <w:r>
        <w:br/>
      </w:r>
      <w:r>
        <w:t xml:space="preserve">Subject;; Comprehensive Analysis and Implementation Strategy for Secondary Teacher Training in Tashkent.</w:t>
      </w:r>
    </w:p>
    <w:bookmarkEnd w:id="20"/>
    <w:bookmarkStart w:id="21" w:name="executive-summary"/>
    <w:p>
      <w:pPr>
        <w:pStyle w:val="Heading2"/>
      </w:pPr>
      <w:r>
        <w:t xml:space="preserve">Executive Summary</w:t>
      </w:r>
    </w:p>
    <w:p>
      <w:pPr>
        <w:pStyle w:val="FirstParagraph"/>
      </w:pPr>
      <w:r>
        <w:t xml:space="preserve">This Project Report outlines the strategic framework, current challenges, and proposed solutions for enhancing the quality of secondary education in Tashkent through rigorous teacher training programs. As Uzbekistan continues its path toward modernization and global integration, the role of the Secondary Teacher becomes pivotal. This document specifically focuses on</w:t>
      </w:r>
      <w:r>
        <w:t xml:space="preserve"> </w:t>
      </w:r>
      <w:r>
        <w:rPr>
          <w:bCs/>
          <w:b/>
        </w:rPr>
        <w:t xml:space="preserve">Tashkent</w:t>
      </w:r>
      <w:r>
        <w:t xml:space="preserve">, the capital city which serves as an educational hub for Central Asia, and details how targeted interventions for</w:t>
      </w:r>
      <w:r>
        <w:t xml:space="preserve"> </w:t>
      </w:r>
      <w:r>
        <w:rPr>
          <w:bCs/>
          <w:b/>
        </w:rPr>
        <w:t xml:space="preserve">Teacher Secondary</w:t>
      </w:r>
      <w:r>
        <w:t xml:space="preserve"> </w:t>
      </w:r>
      <w:r>
        <w:t xml:space="preserve">professionals can drive systemic improvement.</w:t>
      </w:r>
    </w:p>
    <w:p>
      <w:pPr>
        <w:pStyle w:val="BodyText"/>
      </w:pPr>
      <w:r>
        <w:t xml:space="preserve">The primary objective of this project is to evaluate the current pedagogical landscape in Tashkent's secondary schools and propose a sustainable model for professional development. By addressing gaps in digital literacy, modern pedagogical methods, and curriculum alignment with international standards, this initiative aims to empower educators who are shaping the next generation of Uzbekistan's workforce.</w:t>
      </w:r>
    </w:p>
    <w:bookmarkEnd w:id="21"/>
    <w:bookmarkStart w:id="24" w:name="background-context"/>
    <w:bookmarkStart w:id="23" w:name="Xec91874a34da0c7d9c0c8bcdbbb40449c96e279"/>
    <w:p>
      <w:pPr>
        <w:pStyle w:val="Heading2"/>
      </w:pPr>
      <w:r>
        <w:t xml:space="preserve">Background Context: The Educational Landscape in Tashkent</w:t>
      </w:r>
    </w:p>
    <w:p>
      <w:pPr>
        <w:pStyle w:val="FirstParagraph"/>
      </w:pPr>
      <w:r>
        <w:rPr>
          <w:bCs/>
          <w:b/>
        </w:rPr>
        <w:t xml:space="preserve">Tashkent</w:t>
      </w:r>
      <w:r>
        <w:t xml:space="preserve">, as the economic and cultural heart of Uzbekistan, presents unique opportunities and challenges for educational reform. With a rapidly growing population and an increasing demand for high-quality higher education institutions, the foundational years of secondary schooling are under intense scrutiny. The city is home to over 100 secondary schools that serve diverse socioeconomic demographics.</w:t>
      </w:r>
    </w:p>
    <w:bookmarkStart w:id="22" w:name="Xb844a2bc5173dcaa8b54dd7dc4749a9eba6fdfa"/>
    <w:p>
      <w:pPr>
        <w:pStyle w:val="Heading3"/>
      </w:pPr>
      <w:r>
        <w:t xml:space="preserve">The Role of the Secondary Teacher in Modern Uzbekistan</w:t>
      </w:r>
    </w:p>
    <w:p>
      <w:pPr>
        <w:pStyle w:val="FirstParagraph"/>
      </w:pPr>
      <w:r>
        <w:t xml:space="preserve">The traditional model of education in Uzbekistan has long relied on rote memorization and teacher-centered instruction. However, recent government reforms have shifted focus toward critical thinking, problem-solving skills, and digital competence. In this context, the</w:t>
      </w:r>
      <w:r>
        <w:t xml:space="preserve"> </w:t>
      </w:r>
      <w:r>
        <w:rPr>
          <w:bCs/>
          <w:b/>
        </w:rPr>
        <w:t xml:space="preserve">Teacher Secondary</w:t>
      </w:r>
      <w:r>
        <w:t xml:space="preserve"> </w:t>
      </w:r>
      <w:r>
        <w:t xml:space="preserve">professional is no longer just a transmitter of knowledge but a facilitator of learning.</w:t>
      </w:r>
    </w:p>
    <w:p>
      <w:pPr>
        <w:pStyle w:val="BodyText"/>
      </w:pPr>
      <w:r>
        <w:t xml:space="preserve">The demand for qualified secondary teachers in Tashkent has outpaced supply in key STEM (Science, Technology, Engineering, and Mathematics) fields. Furthermore there is a noticeable gap between the theoretical knowledge held by university graduates and the practical classroom management skills required in modern urban schools. This Project Report identifies these discrepancies as critical areas requiring immediate attention through targeted professional development initiatives.</w:t>
      </w:r>
    </w:p>
    <w:bookmarkEnd w:id="22"/>
    <w:bookmarkEnd w:id="23"/>
    <w:bookmarkEnd w:id="24"/>
    <w:bookmarkStart w:id="25" w:name="project-objectives"/>
    <w:p>
      <w:pPr>
        <w:pStyle w:val="Heading2"/>
      </w:pPr>
      <w:r>
        <w:t xml:space="preserve">Project Objectives</w:t>
      </w:r>
    </w:p>
    <w:p>
      <w:pPr>
        <w:pStyle w:val="FirstParagraph"/>
      </w:pPr>
      <w:r>
        <w:t xml:space="preserve">The primary goals of this initiative are designed to uplift the standard of education delivered by secondary teachers across Tashkent. These objectives include:</w:t>
      </w:r>
    </w:p>
    <w:p>
      <w:pPr>
        <w:numPr>
          <w:ilvl w:val="0"/>
          <w:numId w:val="1001"/>
        </w:numPr>
        <w:pStyle w:val="Compact"/>
      </w:pPr>
      <w:r>
        <w:rPr>
          <w:bCs/>
          <w:b/>
        </w:rPr>
        <w:t xml:space="preserve">Pedagogical Modernization:</w:t>
      </w:r>
    </w:p>
    <w:p>
      <w:pPr>
        <w:numPr>
          <w:ilvl w:val="0"/>
          <w:numId w:val="1001"/>
        </w:numPr>
        <w:pStyle w:val="Compact"/>
      </w:pPr>
      <w:r>
        <w:rPr>
          <w:bCs/>
          <w:b/>
        </w:rPr>
        <w:t xml:space="preserve">Digital Integration:</w:t>
      </w:r>
    </w:p>
    <w:p>
      <w:pPr>
        <w:numPr>
          <w:ilvl w:val="0"/>
          <w:numId w:val="1001"/>
        </w:numPr>
        <w:pStyle w:val="Compact"/>
      </w:pPr>
      <w:r>
        <w:rPr>
          <w:bCs/>
          <w:b/>
        </w:rPr>
        <w:t xml:space="preserve">Psihological Support:</w:t>
      </w:r>
    </w:p>
    <w:p>
      <w:pPr>
        <w:numPr>
          <w:ilvl w:val="0"/>
          <w:numId w:val="1001"/>
        </w:numPr>
        <w:pStyle w:val="Compact"/>
      </w:pPr>
      <w:r>
        <w:rPr>
          <w:bCs/>
          <w:b/>
        </w:rPr>
        <w:t xml:space="preserve">Career Development Pathways:</w:t>
      </w:r>
    </w:p>
    <w:bookmarkEnd w:id="25"/>
    <w:bookmarkStart w:id="30" w:name="methodology"/>
    <w:bookmarkStart w:id="29" w:name="methodology-and-implementation-strategy"/>
    <w:p>
      <w:pPr>
        <w:pStyle w:val="Heading2"/>
      </w:pPr>
      <w:r>
        <w:t xml:space="preserve">Methodology and Implementation Strategy</w:t>
      </w:r>
    </w:p>
    <w:p>
      <w:pPr>
        <w:pStyle w:val="FirstParagraph"/>
      </w:pPr>
      <w:r>
        <w:t xml:space="preserve">The implementation of this project in Tashkent will follow a phased approach, ensuring that resources are allocated efficiently and that feedback loops are established for continuous improvement.</w:t>
      </w:r>
    </w:p>
    <w:bookmarkStart w:id="26" w:name="Xdb17b9ca0c5a3745ded533d944dfe6873b8e408"/>
    <w:p>
      <w:pPr>
        <w:pStyle w:val="Heading3"/>
      </w:pPr>
      <w:r>
        <w:t xml:space="preserve">Phase 1: Needs Assessment and Baseline Data Collection</w:t>
      </w:r>
    </w:p>
    <w:p>
      <w:pPr>
        <w:pStyle w:val="FirstParagraph"/>
      </w:pPr>
      <w:r>
        <w:t xml:space="preserve">The first phase involves conducting comprehensive surveys and focus group discussions with secondary teachers across selected districts in Tashkent. This data will help identify specific skill gaps. For instance, while many teachers are proficient in traditional lecture methods, fewer than 40% feel confident using interactive whiteboards or online assessment tools.</w:t>
      </w:r>
    </w:p>
    <w:bookmarkEnd w:id="26"/>
    <w:bookmarkStart w:id="27" w:name="phase-2-pilot-training-programs"/>
    <w:p>
      <w:pPr>
        <w:pStyle w:val="Heading3"/>
      </w:pPr>
      <w:r>
        <w:t xml:space="preserve">Phase 2: Pilot Training Programs</w:t>
      </w:r>
    </w:p>
    <w:p>
      <w:pPr>
        <w:pStyle w:val="FirstParagraph"/>
      </w:pPr>
      <w:r>
        <w:t xml:space="preserve">We will launch pilot training workshops in five major secondary schools in Tashkent. These workshops will be led by master trainers who have undergone certification in modern pedagogical standards. The curriculum for the</w:t>
      </w:r>
      <w:r>
        <w:t xml:space="preserve"> </w:t>
      </w:r>
      <w:r>
        <w:rPr>
          <w:bCs/>
          <w:b/>
        </w:rPr>
        <w:t xml:space="preserve">Teacher Secondary</w:t>
      </w:r>
      <w:r>
        <w:t xml:space="preserve"> </w:t>
      </w:r>
      <w:r>
        <w:t xml:space="preserve">development program will include:</w:t>
      </w:r>
    </w:p>
    <w:p>
      <w:pPr>
        <w:numPr>
          <w:ilvl w:val="0"/>
          <w:numId w:val="1002"/>
        </w:numPr>
        <w:pStyle w:val="Compact"/>
      </w:pPr>
      <w:r>
        <w:t xml:space="preserve">Cognitive Load Theory and Classroom Management.</w:t>
      </w:r>
    </w:p>
    <w:p>
      <w:pPr>
        <w:numPr>
          <w:ilvl w:val="0"/>
          <w:numId w:val="1002"/>
        </w:numPr>
        <w:pStyle w:val="Compact"/>
      </w:pPr>
      <w:r>
        <w:t xml:space="preserve">Data-Driven Instruction: Using assessment results to tailor lesson plans.</w:t>
      </w:r>
    </w:p>
    <w:p>
      <w:pPr>
        <w:numPr>
          <w:ilvl w:val="0"/>
          <w:numId w:val="1002"/>
        </w:numPr>
        <w:pStyle w:val="Compact"/>
      </w:pPr>
      <w:r>
        <w:t xml:space="preserve">Inclusive Education Strategies for diverse student bodies.</w:t>
      </w:r>
    </w:p>
    <w:p>
      <w:pPr>
        <w:pStyle w:val="FirstParagraph"/>
      </w:pPr>
      <w:r>
        <w:rPr>
          <w:bCs/>
          <w:b/>
        </w:rPr>
        <w:t xml:space="preserve">Tashkent</w:t>
      </w:r>
    </w:p>
    <w:p>
      <w:pPr>
        <w:pStyle w:val="BodyText"/>
      </w:pPr>
      <w:r>
        <w:t xml:space="preserve">; will serve as the central hub for these resources, leveraging the city's infrastructure and connectivity to disseminate materials rapidly across other regions later in the project lifecycle. The capital's concentration of universities allows for partnerships with faculty experts who can mentor secondary teachers.</w:t>
      </w:r>
    </w:p>
    <w:bookmarkEnd w:id="27"/>
    <w:bookmarkStart w:id="28" w:name="X113fc2b49f04883f7a5a6d86c6a9c2526a21892"/>
    <w:p>
      <w:pPr>
        <w:pStyle w:val="Heading3"/>
      </w:pPr>
      <w:r>
        <w:rPr>
          <w:bCs/>
          <w:b/>
        </w:rPr>
        <w:t xml:space="preserve">Phase 3: Monitoring, Evaluation, and Scaling</w:t>
      </w:r>
    </w:p>
    <w:p>
      <w:pPr>
        <w:pStyle w:val="FirstParagraph"/>
      </w:pPr>
      <w:r>
        <w:t xml:space="preserve">Efficacy will be measured through pre- and post-training assessments of teacher competency, as well as longitudinal studies on student performance outcomes. Once the pilot demonstrates success in Tashkent, the model will be scaled to other regions of Uzbekistan.</w:t>
      </w:r>
    </w:p>
    <w:bookmarkEnd w:id="28"/>
    <w:bookmarkEnd w:id="29"/>
    <w:bookmarkEnd w:id="30"/>
    <w:bookmarkStart w:id="32" w:name="challenges"/>
    <w:bookmarkStart w:id="31" w:name="challenges-and-risk-mitigation"/>
    <w:p>
      <w:pPr>
        <w:pStyle w:val="Heading2"/>
      </w:pPr>
      <w:r>
        <w:t xml:space="preserve">Challenges and Risk Mitigation</w:t>
      </w:r>
    </w:p>
    <w:p>
      <w:pPr>
        <w:pStyle w:val="FirstParagraph"/>
      </w:pPr>
      <w:r>
        <w:t xml:space="preserve">Implementing educational reforms is rarely without obstacles. In the context of Tashkent, several challenges must be addressed:</w:t>
      </w:r>
    </w:p>
    <w:p>
      <w:pPr>
        <w:pStyle w:val="BodyText"/>
      </w:pPr>
    </w:p>
    <w:p>
      <w:pPr>
        <w:numPr>
          <w:ilvl w:val="0"/>
          <w:numId w:val="1003"/>
        </w:numPr>
        <w:pStyle w:val="Compact"/>
      </w:pPr>
      <w:r>
        <w:t xml:space="preserve">Bureaucratic Red Tape: Navigating government regulations for hiring external trainers.</w:t>
      </w:r>
    </w:p>
    <w:bookmarkEnd w:id="31"/>
    <w:bookmarkEnd w:id="32"/>
    <w:p>
      <w:pPr>
        <w:pStyle w:val="FirstParagraph"/>
      </w:pPr>
      <w:r>
        <w:t xml:space="preserve">Teacher Resistance: Older educators may resist changes to established teaching methods.</w:t>
      </w:r>
    </w:p>
    <w:p>
      <w:pPr>
        <w:pStyle w:val="BodyText"/>
      </w:pPr>
      <w:r>
        <w:t xml:space="preserve">;</w:t>
      </w:r>
    </w:p>
    <w:p>
      <w:pPr>
        <w:pStyle w:val="BodyText"/>
      </w:pPr>
      <w:r>
        <w:t xml:space="preserve">Additionally, resource constraints such as outdated textbooks in some rural districts surrounding Tashkent may hinder the rollout of digital tools. To mitigate this, the project will prioritize mobile learning labs that can travel to underserved areas.</w:t>
      </w:r>
    </w:p>
    <w:bookmarkStart w:id="34" w:name="expected-outcomes"/>
    <w:bookmarkStart w:id="33" w:name="expected-outcomes-and-impact"/>
    <w:p>
      <w:pPr>
        <w:pStyle w:val="Heading2"/>
      </w:pPr>
      <w:r>
        <w:t xml:space="preserve">Expected Outcomes and Impact</w:t>
      </w:r>
    </w:p>
    <w:p>
      <w:pPr>
        <w:pStyle w:val="FirstParagraph"/>
      </w:pPr>
      <w:r>
        <w:t xml:space="preserve">If successful, this Project Report's proposed initiatives will yield significant benefits for the educational ecosystem in Uzbekistan Tashkent. Specifically:</w:t>
      </w:r>
    </w:p>
    <w:p>
      <w:pPr>
        <w:numPr>
          <w:ilvl w:val="0"/>
          <w:numId w:val="1004"/>
        </w:numPr>
        <w:pStyle w:val="Compact"/>
      </w:pPr>
      <w:r>
        <w:t xml:space="preserve">Teacher Retention: A more supportive professional environment leading to lower turnover rates among secondary teachers.</w:t>
      </w:r>
    </w:p>
    <w:p>
      <w:pPr>
        <w:numPr>
          <w:ilvl w:val="0"/>
          <w:numId w:val="1000"/>
        </w:numPr>
        <w:pStyle w:val="Compact"/>
      </w:pPr>
      <w:r>
        <w:t xml:space="preserve">Tashkent Model:</w:t>
      </w:r>
    </w:p>
    <w:bookmarkEnd w:id="33"/>
    <w:bookmarkEnd w:id="34"/>
    <w:bookmarkStart w:id="35" w:name="conclusion"/>
    <w:p>
      <w:pPr>
        <w:pStyle w:val="Heading2"/>
      </w:pPr>
      <w:r>
        <w:t xml:space="preserve">Conclusion</w:t>
      </w:r>
    </w:p>
    <w:p>
      <w:pPr>
        <w:pStyle w:val="FirstParagraph"/>
      </w:pPr>
      <w:r>
        <w:t xml:space="preserve">The future of Uzbekistan lies in its human capital. By focusing on the professional growth of the Secondary Teacher, we invest directly in the intellectual capacity of our nation. Tashkent, with its vibrant educational sector and central role in national policy-making, is the ideal testing ground for these transformative changes.</w:t>
      </w:r>
    </w:p>
    <w:p>
      <w:pPr>
        <w:pStyle w:val="BodyText"/>
      </w:pPr>
      <w:r>
        <w:t xml:space="preserve">This Project Report serves not only as a diagnostic tool but also as a call to action. It underscores that while challenges exist, the potential for impact is immense. Through collaboration between the government, educators, and international partners we can create a robust system where every Secondary Teacher in Tashkent is equipped with the skills, confidence, and resources to inspire their students.</w:t>
      </w:r>
    </w:p>
    <w:p>
      <w:pPr>
        <w:pStyle w:val="BodyText"/>
      </w:pPr>
      <w:r>
        <w:t xml:space="preserve">We recommend immediate approval of the Phase 1 budget allocation to commence needs assessments by early next quarter. The time for incremental change has passed; now is the moment for decisive action in elevating education standards across Uzbekistan Tashkent and beyond.</w:t>
      </w:r>
    </w:p>
    <w:bookmarkEnd w:id="35"/>
    <w:p>
      <w:pPr>
        <w:pStyle w:val="BodyText"/>
      </w:pPr>
      <w:r>
        <w:rPr>
          <w:bCs/>
          <w:b/>
        </w:rPr>
        <w:t xml:space="preserve">Prepared By:</w:t>
      </w:r>
    </w:p>
    <w:p>
      <w:pPr>
        <w:pStyle w:val="BodyText"/>
      </w:pPr>
      <w:r>
        <w:t xml:space="preserve">Contact Information: info@edu-develop-uz.tk</w:t>
      </w:r>
      <w:r>
        <w:br/>
      </w:r>
      <w:r>
        <w:t xml:space="preserve">Reference Number:;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Uzbekistan Tashkent</dc:title>
  <dc:creator/>
  <dc:language>en</dc:language>
  <cp:keywords/>
  <dcterms:created xsi:type="dcterms:W3CDTF">2026-07-29T21:51:54Z</dcterms:created>
  <dcterms:modified xsi:type="dcterms:W3CDTF">2026-07-29T21:51:54Z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