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9" w:name="X14ac3b63281c02367a9e9bf538dd5bdd50c426b"/>
    <w:p>
      <w:pPr>
        <w:pStyle w:val="Heading1"/>
      </w:pPr>
      <w:r>
        <w:t xml:space="preserve">Project Report: Implementation of Professional Translator Interpreter Services in Germany, Frankfurt</w:t>
      </w:r>
    </w:p>
    <w:p>
      <w:pPr>
        <w:pStyle w:val="FirstParagraph"/>
      </w:pPr>
      <w:r>
        <w:rPr>
          <w:bCs/>
          <w:b/>
        </w:rPr>
        <w:t xml:space="preserve">Date:</w:t>
      </w:r>
      <w:r>
        <w:t xml:space="preserve"> </w:t>
      </w:r>
      <w:r>
        <w:t xml:space="preserve">October 26, 2023</w:t>
      </w:r>
      <w:r>
        <w:br/>
      </w:r>
      <w:r>
        <w:rPr>
          <w:bCs/>
          <w:b/>
        </w:rPr>
        <w:t xml:space="preserve">To:</w:t>
      </w:r>
      <w:r>
        <w:br/>
      </w:r>
      <w:r>
        <w:t xml:space="preserve">Steering Committee on International Business Expansion</w:t>
      </w:r>
      <w:r>
        <w:br/>
      </w:r>
      <w:r>
        <w:t xml:space="preserve">From:</w:t>
      </w:r>
      <w:r>
        <w:br/>
      </w:r>
      <w:r>
        <w:t xml:space="preserve">Project Management Office (PMO)</w:t>
      </w:r>
      <w:r>
        <w:br/>
      </w:r>
      <w:r>
        <w:t xml:space="preserve">Subject:</w:t>
      </w:r>
      <w:r>
        <w:br/>
      </w:r>
      <w:r>
        <w:rPr>
          <w:iCs/>
          <w:i/>
        </w:rPr>
        <w:t xml:space="preserve">The Strategic Necessity of High-Grade Translator Interpreter Solutions for Our Frankfurt Operations</w:t>
      </w:r>
    </w:p>
    <w:p>
      <w:pPr>
        <w:pStyle w:val="BodyText"/>
      </w:pPr>
      <w:r>
        <w:t xml:space="preserve">• • •</w:t>
      </w:r>
    </w:p>
    <w:bookmarkStart w:id="20" w:name="executive-summary"/>
    <w:p>
      <w:pPr>
        <w:pStyle w:val="Heading2"/>
      </w:pPr>
      <w:r>
        <w:t xml:space="preserve">1. Executive Summary</w:t>
      </w:r>
    </w:p>
    <w:p>
      <w:pPr>
        <w:pStyle w:val="FirstParagraph"/>
      </w:pPr>
      <w:r>
        <w:t xml:space="preserve">This document serves as a comprehensive Project Report regarding the integration and utilization of specialized Translator Interpreter services within our operational framework in Germany, specifically focusing on the metropolitan hub of Frankfurt. As our organization continues to expand its footprint into Central Europe, the linguistic and cultural nuances inherent to doing business in this region have become critical success factors. This report outlines why professional translation interpretation is not merely an administrative convenience but a strategic imperative for sustainable growth in Germany’s financial capital.</w:t>
      </w:r>
    </w:p>
    <w:p>
      <w:pPr>
        <w:pStyle w:val="BodyText"/>
      </w:pPr>
      <w:r>
        <w:t xml:space="preserve">The primary objective of this project analysis is to evaluate the current demand for linguistic support, define the scope of required Translator Interpreter capabilities, and justify the allocation of resources necessary to secure high-quality language services. The findings herein demonstrate that effective communication through certified Translator Interpreter professionals is directly correlated with reduced legal risks, enhanced stakeholder trust, and accelerated operational efficiency in Frankfurt.</w:t>
      </w:r>
    </w:p>
    <w:bookmarkEnd w:id="20"/>
    <w:bookmarkStart w:id="21" w:name="contextual-background-why-germany"/>
    <w:p>
      <w:pPr>
        <w:pStyle w:val="Heading2"/>
      </w:pPr>
      <w:r>
        <w:t xml:space="preserve">2. Contextual Background: Why Germany?</w:t>
      </w:r>
    </w:p>
    <w:p>
      <w:pPr>
        <w:pStyle w:val="FirstParagraph"/>
      </w:pPr>
      <w:r>
        <w:rPr>
          <w:bCs/>
          <w:b/>
        </w:rPr>
        <w:t xml:space="preserve">The Economic Powerhouse:</w:t>
      </w:r>
      <w:r>
        <w:br/>
      </w:r>
      <w:r>
        <w:t xml:space="preserve">Germany stands as the largest economy in Europe and a pivotal player in global trade. For multinational corporations, establishing a presence here offers unparalleled access to the European market. However, the German business culture is characterized by precision, formality, and an acute attention to detail. Misunderstandings arising from linguistic ambiguities are often viewed not just as minor errors but as professional negligence.</w:t>
      </w:r>
    </w:p>
    <w:p>
      <w:pPr>
        <w:pStyle w:val="BodyText"/>
      </w:pPr>
      <w:r>
        <w:rPr>
          <w:bCs/>
          <w:b/>
        </w:rPr>
        <w:t xml:space="preserve">The Legal Framework:</w:t>
      </w:r>
      <w:r>
        <w:br/>
      </w:r>
      <w:r>
        <w:t xml:space="preserve">German law places significant emphasis on written documentation and precise contractual language. Contracts, compliance documents, and regulatory filings must often be available in German to be legally binding or accepted by local authorities. This requirement necessitates the involvement of certified Translator Interpreter services that can guarantee accuracy and legal validity.</w:t>
      </w:r>
    </w:p>
    <w:bookmarkEnd w:id="21"/>
    <w:bookmarkStart w:id="22" w:name="the-strategic-imperative-of-frankfurt"/>
    <w:p>
      <w:pPr>
        <w:pStyle w:val="Heading2"/>
      </w:pPr>
      <w:r>
        <w:t xml:space="preserve">3. The Strategic Imperative of Frankfurt</w:t>
      </w:r>
    </w:p>
    <w:p>
      <w:pPr>
        <w:pStyle w:val="FirstParagraph"/>
      </w:pPr>
      <w:r>
        <w:rPr>
          <w:bCs/>
          <w:b/>
        </w:rPr>
        <w:t xml:space="preserve">The Financial Heartbeat:</w:t>
      </w:r>
      <w:r>
        <w:br/>
      </w:r>
      <w:r>
        <w:t xml:space="preserve">Frankfurt am Main is widely recognized as the banking capital of Europe. It hosts the European Central Bank (ECB), the German Federal Bank (Bundesbank), and numerous international financial institutions, including major investment banks and insurance companies. Our decision to establish a significant operational base in Frankfurt places us at the intersection of global finance.</w:t>
      </w:r>
    </w:p>
    <w:p>
      <w:pPr>
        <w:pStyle w:val="BodyText"/>
      </w:pPr>
      <w:r>
        <w:rPr>
          <w:bCs/>
          <w:b/>
        </w:rPr>
        <w:t xml:space="preserve">Diversity and Complexity:</w:t>
      </w:r>
      <w:r>
        <w:br/>
      </w:r>
      <w:r>
        <w:t xml:space="preserve">As a global hub, Frankfurt is incredibly diverse. Our interactions will span across various sectors: financial auditing, legal proceedings, corporate mergers and acquisitions (M&amp;A), and regulatory compliance. In this environment, the need for a skilled Translator Interpreter extends beyond simple word-for-word translation. It requires cultural mediation and technical expertise in specialized domains such as finance, law, and engineering.</w:t>
      </w:r>
    </w:p>
    <w:p>
      <w:pPr>
        <w:pStyle w:val="BodyText"/>
      </w:pPr>
      <w:r>
        <w:rPr>
          <w:bCs/>
          <w:b/>
        </w:rPr>
        <w:t xml:space="preserve">Regulatory Scrutiny:</w:t>
      </w:r>
      <w:r>
        <w:br/>
      </w:r>
      <w:r>
        <w:t xml:space="preserve">Financial institutions in Frankfurt operate under strict scrutiny from both national (BaFin) and European regulators. Communication errors during regulatory audits or legal disputes can have severe financial repercussions. Therefore, relying on ad-hoc translation methods or non-specialized personnel is an unacceptable risk profile for our Frankfurt operations.</w:t>
      </w:r>
    </w:p>
    <w:bookmarkEnd w:id="22"/>
    <w:bookmarkStart w:id="25" w:name="X876e239e992e947fe84afa2a3bf461ca92618c1"/>
    <w:p>
      <w:pPr>
        <w:pStyle w:val="Heading2"/>
      </w:pPr>
      <w:r>
        <w:t xml:space="preserve">4. Scope of Translator Interpreter Requirements</w:t>
      </w:r>
    </w:p>
    <w:p>
      <w:pPr>
        <w:pStyle w:val="FirstParagraph"/>
      </w:pPr>
      <w:r>
        <w:t xml:space="preserve">To adequately support our operations in Germany, the proposed solution must encompass two distinct but complementary disciplines: Translation and Interpretation.</w:t>
      </w:r>
    </w:p>
    <w:bookmarkStart w:id="23" w:name="a.-written-translation-services"/>
    <w:p>
      <w:pPr>
        <w:pStyle w:val="Heading3"/>
      </w:pPr>
      <w:r>
        <w:rPr>
          <w:bCs/>
          <w:b/>
        </w:rPr>
        <w:t xml:space="preserve">A. Written Translation Services</w:t>
      </w:r>
    </w:p>
    <w:p>
      <w:pPr>
        <w:numPr>
          <w:ilvl w:val="0"/>
          <w:numId w:val="1001"/>
        </w:numPr>
        <w:pStyle w:val="Compact"/>
      </w:pPr>
      <w:r>
        <w:rPr>
          <w:bCs/>
          <w:b/>
        </w:rPr>
        <w:t xml:space="preserve">Literary and Technical Documents:</w:t>
      </w:r>
      <w:r>
        <w:t xml:space="preserve"> </w:t>
      </w:r>
      <w:r>
        <w:t xml:space="preserve">Translating marketing materials, technical manuals, and engineering specifications requires more than linguistic proficiency; it demands subject-matter expertise.</w:t>
      </w:r>
    </w:p>
    <w:p>
      <w:pPr>
        <w:numPr>
          <w:ilvl w:val="0"/>
          <w:numId w:val="1001"/>
        </w:numPr>
        <w:pStyle w:val="Compact"/>
      </w:pPr>
      <w:r>
        <w:rPr>
          <w:bCs/>
          <w:b/>
        </w:rPr>
        <w:t xml:space="preserve">Legal Contracts:</w:t>
      </w:r>
      <w:r>
        <w:t xml:space="preserve"> </w:t>
      </w:r>
      <w:r>
        <w:t xml:space="preserve">Contracts drafted in English must be translated into German by sworn translators (</w:t>
      </w:r>
      <w:r>
        <w:rPr>
          <w:iCs/>
          <w:i/>
        </w:rPr>
        <w:t xml:space="preserve">Eidliche Übersetzer</w:t>
      </w:r>
      <w:r>
        <w:t xml:space="preserve">) to ensure they hold weight in German courts.</w:t>
      </w:r>
    </w:p>
    <w:p>
      <w:pPr>
        <w:numPr>
          <w:ilvl w:val="0"/>
          <w:numId w:val="1001"/>
        </w:numPr>
        <w:pStyle w:val="Compact"/>
      </w:pPr>
      <w:r>
        <w:rPr>
          <w:bCs/>
          <w:b/>
        </w:rPr>
        <w:t xml:space="preserve">Digital Content Adaptation:</w:t>
      </w:r>
      <w:r>
        <w:t xml:space="preserve"> </w:t>
      </w:r>
      <w:r>
        <w:t xml:space="preserve">Localizing websites and digital platforms for the DACH region (Germany, Austria, Switzerland) requires culturally adapted content rather than literal translation.</w:t>
      </w:r>
    </w:p>
    <w:bookmarkEnd w:id="23"/>
    <w:bookmarkStart w:id="24" w:name="b.-oral-interpretation-services"/>
    <w:p>
      <w:pPr>
        <w:pStyle w:val="Heading3"/>
      </w:pPr>
      <w:r>
        <w:rPr>
          <w:bCs/>
          <w:b/>
        </w:rPr>
        <w:t xml:space="preserve">B. Oral Interpretation Services</w:t>
      </w:r>
    </w:p>
    <w:p>
      <w:pPr>
        <w:numPr>
          <w:ilvl w:val="0"/>
          <w:numId w:val="1002"/>
        </w:numPr>
        <w:pStyle w:val="Compact"/>
      </w:pPr>
      <w:r>
        <w:rPr>
          <w:bCs/>
          <w:b/>
        </w:rPr>
        <w:t xml:space="preserve">Court and Legal Proceedings:</w:t>
      </w:r>
      <w:r>
        <w:t xml:space="preserve"> </w:t>
      </w:r>
      <w:r>
        <w:t xml:space="preserve">Representation in local legal matters requires certified interpreters who understand judicial terminology.</w:t>
      </w:r>
    </w:p>
    <w:p>
      <w:pPr>
        <w:numPr>
          <w:ilvl w:val="0"/>
          <w:numId w:val="1002"/>
        </w:numPr>
        <w:pStyle w:val="Compact"/>
      </w:pPr>
      <w:r>
        <w:rPr>
          <w:bCs/>
          <w:b/>
        </w:rPr>
        <w:t xml:space="preserve">Business Negotiations:</w:t>
      </w:r>
      <w:r>
        <w:t xml:space="preserve"> </w:t>
      </w:r>
      <w:r>
        <w:t xml:space="preserve">Simultaneous interpretation during high-stakes meetings with Frankfurt-based partners is essential to maintain flow and clarity.</w:t>
      </w:r>
    </w:p>
    <w:p>
      <w:pPr>
        <w:numPr>
          <w:ilvl w:val="0"/>
          <w:numId w:val="1002"/>
        </w:numPr>
        <w:pStyle w:val="Compact"/>
      </w:pPr>
      <w:r>
        <w:rPr>
          <w:bCs/>
          <w:b/>
        </w:rPr>
        <w:t xml:space="preserve">Crisis Communication:</w:t>
      </w:r>
      <w:r>
        <w:t xml:space="preserve"> </w:t>
      </w:r>
      <w:r>
        <w:t xml:space="preserve">In the event of a corporate crisis, rapid and accurate verbal communication between headquarters (potentially abroad) and local Frankfurt staff is critical for damage control.</w:t>
      </w:r>
    </w:p>
    <w:bookmarkEnd w:id="24"/>
    <w:bookmarkEnd w:id="25"/>
    <w:bookmarkStart w:id="26" w:name="quality-assurance-and-compliance"/>
    <w:p>
      <w:pPr>
        <w:pStyle w:val="Heading2"/>
      </w:pPr>
      <w:r>
        <w:t xml:space="preserve">5. Quality Assurance and Compliance</w:t>
      </w:r>
    </w:p>
    <w:p>
      <w:pPr>
        <w:pStyle w:val="FirstParagraph"/>
      </w:pPr>
      <w:r>
        <w:t xml:space="preserve">In the context of Germany’s rigorous standards, quality assurance is paramount. The selection of our Translator Interpreter providers must adhere to international quality standards such as ISO 17100 for translation services. Furthermore, all interpreters deployed for legal purposes in Frankfurt must possess recognized certifications from German institutions.</w:t>
      </w:r>
    </w:p>
    <w:p>
      <w:pPr>
        <w:pStyle w:val="BodyText"/>
      </w:pPr>
      <w:r>
        <w:rPr>
          <w:bCs/>
          <w:b/>
        </w:rPr>
        <w:t xml:space="preserve">Cultural Sensitivity:</w:t>
      </w:r>
      <w:r>
        <w:br/>
      </w:r>
      <w:r>
        <w:t xml:space="preserve">Beyond technical accuracy, our Translator Interpreter team must exhibit high cultural intelligence. German business etiquette values punctuality, directness, and hierarchy. A skilled interpreter acts as a cultural bridge, ensuring that the tone and intent of messages are conveyed appropriately within this specific socio-cultural framework.</w:t>
      </w:r>
    </w:p>
    <w:bookmarkEnd w:id="26"/>
    <w:bookmarkStart w:id="27" w:name="implementation-timeline"/>
    <w:p>
      <w:pPr>
        <w:pStyle w:val="Heading2"/>
      </w:pPr>
      <w:r>
        <w:t xml:space="preserve">6. Implementation Timeline</w:t>
      </w:r>
    </w:p>
    <w:p>
      <w:pPr>
        <w:pStyle w:val="FirstParagraph"/>
      </w:pPr>
      <w:r>
        <w:rPr>
          <w:bCs/>
          <w:b/>
        </w:rPr>
        <w:t xml:space="preserve">Phase 1: Needs Assessment (Months 1-2):</w:t>
      </w:r>
    </w:p>
    <w:p>
      <w:pPr>
        <w:numPr>
          <w:ilvl w:val="0"/>
          <w:numId w:val="1003"/>
        </w:numPr>
        <w:pStyle w:val="Compact"/>
      </w:pPr>
      <w:r>
        <w:t xml:space="preserve">Identify specific linguistic needs across different departments in Frankfurt.</w:t>
      </w:r>
    </w:p>
    <w:p>
      <w:pPr>
        <w:numPr>
          <w:ilvl w:val="0"/>
          <w:numId w:val="1003"/>
        </w:numPr>
        <w:pStyle w:val="Compact"/>
      </w:pPr>
      <w:r>
        <w:t xml:space="preserve">Audit current communication bottlenecks.</w:t>
      </w:r>
    </w:p>
    <w:p>
      <w:pPr>
        <w:pStyle w:val="FirstParagraph"/>
      </w:pPr>
      <w:r>
        <w:rPr>
          <w:bCs/>
          <w:b/>
        </w:rPr>
        <w:t xml:space="preserve">Phase 2: Vendor Selection (Months 3-4):</w:t>
      </w:r>
    </w:p>
    <w:p>
      <w:pPr>
        <w:numPr>
          <w:ilvl w:val="0"/>
          <w:numId w:val="1004"/>
        </w:numPr>
        <w:pStyle w:val="Compact"/>
      </w:pPr>
      <w:r>
        <w:t xml:space="preserve">RFP process for specialized Translator Interpreter agencies.</w:t>
      </w:r>
    </w:p>
    <w:p>
      <w:pPr>
        <w:numPr>
          <w:ilvl w:val="0"/>
          <w:numId w:val="1004"/>
        </w:numPr>
        <w:pStyle w:val="Compact"/>
      </w:pPr>
      <w:r>
        <w:t xml:space="preserve">Vetting candidates for ISO certification and local Frankfurt presence.</w:t>
      </w:r>
    </w:p>
    <w:p>
      <w:pPr>
        <w:pStyle w:val="FirstParagraph"/>
      </w:pPr>
      <w:r>
        <w:rPr>
          <w:bCs/>
          <w:b/>
        </w:rPr>
        <w:t xml:space="preserve">Phase 3: Pilot Program (Months 5-6):</w:t>
      </w:r>
    </w:p>
    <w:p>
      <w:pPr>
        <w:numPr>
          <w:ilvl w:val="0"/>
          <w:numId w:val="1005"/>
        </w:numPr>
        <w:pStyle w:val="Compact"/>
      </w:pPr>
      <w:r>
        <w:t xml:space="preserve">Pilot the selected services with a single department, such as Legal or Human Resources.</w:t>
      </w:r>
    </w:p>
    <w:p>
      <w:pPr>
        <w:numPr>
          <w:ilvl w:val="0"/>
          <w:numId w:val="1005"/>
        </w:numPr>
        <w:pStyle w:val="Compact"/>
      </w:pPr>
      <w:r>
        <w:t xml:space="preserve">Gather feedback and refine service level agreements (SLAs).</w:t>
      </w:r>
    </w:p>
    <w:p>
      <w:pPr>
        <w:pStyle w:val="FirstParagraph"/>
      </w:pPr>
      <w:r>
        <w:rPr>
          <w:bCs/>
          <w:b/>
        </w:rPr>
        <w:t xml:space="preserve">Phase 4: Full Rollout (Month 7 onwards):</w:t>
      </w:r>
    </w:p>
    <w:p>
      <w:pPr>
        <w:numPr>
          <w:ilvl w:val="0"/>
          <w:numId w:val="1006"/>
        </w:numPr>
        <w:pStyle w:val="Compact"/>
      </w:pPr>
      <w:r>
        <w:t xml:space="preserve">Scaled implementation across all Frankfurt offices.</w:t>
      </w:r>
    </w:p>
    <w:p>
      <w:pPr>
        <w:numPr>
          <w:ilvl w:val="0"/>
          <w:numId w:val="1006"/>
        </w:numPr>
        <w:pStyle w:val="Compact"/>
      </w:pPr>
      <w:r>
        <w:t xml:space="preserve">Ongoing monitoring and quarterly performance reviews.</w:t>
      </w:r>
    </w:p>
    <w:bookmarkEnd w:id="27"/>
    <w:bookmarkStart w:id="28" w:name="conclusion"/>
    <w:p>
      <w:pPr>
        <w:pStyle w:val="Heading2"/>
      </w:pPr>
      <w:r>
        <w:t xml:space="preserve">7. Conclusion</w:t>
      </w:r>
    </w:p>
    <w:p>
      <w:pPr>
        <w:pStyle w:val="FirstParagraph"/>
      </w:pPr>
      <w:r>
        <w:t xml:space="preserve">The expansion into the dynamic market of Germany, particularly within the prestigious business enclave of Frankfurt, represents a significant milestone for our organization. However, this growth brings complex linguistic and cultural challenges that cannot be underestimated.</w:t>
      </w:r>
    </w:p>
    <w:p>
      <w:pPr>
        <w:pStyle w:val="BodyText"/>
      </w:pPr>
      <w:r>
        <w:t xml:space="preserve">This Project Report concludes that investing in top-tier Translator Interpreter services is not an optional expense but a fundamental component of our risk management and operational strategy. By prioritizing professional translation interpretation, we ensure compliance with German legal standards, foster trust among local stakeholders, and maintain the precision required for success in Europe’s financial capital. We recommend immediate approval of the budget allocated for Phase 1 to initiate this critical infrastructure development.</w:t>
      </w:r>
    </w:p>
    <w:p>
      <w:pPr>
        <w:pStyle w:val="BodyText"/>
      </w:pPr>
      <w:r>
        <w:rPr>
          <w:bCs/>
          <w:b/>
        </w:rPr>
        <w:t xml:space="preserve">Recommendation:</w:t>
      </w:r>
      <w:r>
        <w:br/>
      </w:r>
      <w:r>
        <w:t xml:space="preserve">The Steering Committee is urged to approve the procurement of ISO-compliant Translator Interpreter services dedicated to supporting our Frankfurt-based initiatives immediately. Delaying this step risks operational delays and potential legal vulnerabilities in the German market.</w:t>
      </w:r>
    </w:p>
    <w:p>
      <w:pPr>
        <w:pStyle w:val="BodyText"/>
      </w:pPr>
      <w:r>
        <w:t xml:space="preserve">End of Report</w:t>
      </w:r>
    </w:p>
    <w:p>
      <w:pPr>
        <w:pStyle w:val="BodyText"/>
      </w:pPr>
      <w:r>
        <w:t xml:space="preserve">Prepared by the Project Management Office</w:t>
      </w:r>
      <w:r>
        <w:br/>
      </w:r>
      <w:r>
        <w:t xml:space="preserve">© 2023 Global Operations Division. All Rights Reserved.</w:t>
      </w:r>
      <w:r>
        <w:br/>
      </w:r>
      <w:r>
        <w:t xml:space="preserve">Confidentiality Notice: This document contains proprietary information regarding our strategy for Germany Frankfurt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Germany Frankfurt</dc:title>
  <dc:creator/>
  <dc:language>en</dc:language>
  <cp:keywords/>
  <dcterms:created xsi:type="dcterms:W3CDTF">2026-07-30T03:46:27Z</dcterms:created>
  <dcterms:modified xsi:type="dcterms:W3CDTF">2026-07-30T03:46:27Z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