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University</w:t>
      </w:r>
      <w:r>
        <w:t xml:space="preserve"> </w:t>
      </w:r>
      <w:r>
        <w:t xml:space="preserve">Lecturer</w:t>
      </w:r>
      <w:r>
        <w:t xml:space="preserve"> </w:t>
      </w:r>
      <w:r>
        <w:t xml:space="preserve">Position</w:t>
      </w:r>
      <w:r>
        <w:t xml:space="preserve"> </w:t>
      </w:r>
      <w:r>
        <w:t xml:space="preserve">in</w:t>
      </w:r>
      <w:r>
        <w:t xml:space="preserve"> </w:t>
      </w:r>
      <w:r>
        <w:t xml:space="preserve">Australia</w:t>
      </w:r>
      <w:r>
        <w:t xml:space="preserve"> </w:t>
      </w:r>
      <w:r>
        <w:t xml:space="preserve">Melbourne</w:t>
      </w:r>
    </w:p>
    <w:bookmarkStart w:id="20" w:name="Xdb5c3699e2cf5cf50bcc7e5e3e2477792725a56"/>
    <w:p>
      <w:pPr>
        <w:pStyle w:val="Heading1"/>
      </w:pPr>
      <w:r>
        <w:t xml:space="preserve">Project Report Strategic Analysis and Implementation Plan for University Lecturer Recruitment in Australia Melbourne</w:t>
      </w:r>
    </w:p>
    <w:p>
      <w:pPr>
        <w:pStyle w:val="FirstParagraph"/>
      </w:pPr>
      <w:r>
        <w:rPr>
          <w:bCs/>
          <w:b/>
        </w:rPr>
        <w:t xml:space="preserve">Date:</w:t>
      </w:r>
      <w:r>
        <w:t xml:space="preserve"> </w:t>
      </w:r>
      <w:r>
        <w:t xml:space="preserve">October 26, 2023</w:t>
      </w:r>
      <w:r>
        <w:br/>
      </w:r>
      <w:r>
        <w:rPr>
          <w:bCs/>
          <w:b/>
        </w:rPr>
        <w:t xml:space="preserve">To:</w:t>
      </w:r>
    </w:p>
    <w:p>
      <w:pPr>
        <w:pStyle w:val="BodyText"/>
      </w:pPr>
      <w:r>
        <w:t xml:space="preserve">H3{color:#7f8c8d;margin-top: 20px;}</w:t>
      </w:r>
    </w:p>
    <w:p>
      <w:pPr>
        <w:pStyle w:val="BodyText"/>
      </w:pPr>
      <w:r>
        <w:rPr>
          <w:iCs/>
          <w:i/>
        </w:rPr>
        <w:t xml:space="preserve">Australian Higher Education Administration Board</w:t>
      </w:r>
      <w:r>
        <w:br/>
      </w:r>
      <w:r>
        <w:rPr>
          <w:bCs/>
          <w:b/>
        </w:rPr>
        <w:t xml:space="preserve">From:</w:t>
      </w:r>
      <w:r>
        <w:t xml:space="preserve"> </w:t>
      </w:r>
      <w:r>
        <w:t xml:space="preserve">Strategic Recruitment Division</w:t>
      </w:r>
      <w:r>
        <w:br/>
      </w:r>
      <w:r>
        <w:rPr>
          <w:bCs/>
          <w:b/>
        </w:rPr>
        <w:t xml:space="preserve">Subject:</w:t>
      </w:r>
    </w:p>
    <w:bookmarkEnd w:id="20"/>
    <w:p>
      <w:r>
        <w:pict>
          <v:rect style="width:0;height:1.5pt" o:hralign="center" o:hrstd="t" o:hr="t"/>
        </w:pict>
      </w:r>
    </w:p>
    <w:bookmarkStart w:id="21" w:name="executive-summary"/>
    <w:p>
      <w:pPr>
        <w:pStyle w:val="FirstParagraph"/>
      </w:pPr>
      <w:r>
        <w:t xml:space="preserve">This</w:t>
      </w:r>
    </w:p>
    <w:p>
      <w:pPr>
        <w:pStyle w:val="BodyText"/>
      </w:pPr>
      <w:r>
        <w:t xml:space="preserve">outlines the critical components, strategic considerations, and operational frameworks necessary for securing and retaining a high-caliber University Lecturer within the vibrant academic landscape of</w:t>
      </w:r>
      <w:r>
        <w:t xml:space="preserve"> </w:t>
      </w:r>
      <w:r>
        <w:rPr>
          <w:bCs/>
          <w:b/>
        </w:rPr>
        <w:t xml:space="preserve">Australia Melbourne</w:t>
      </w:r>
      <w:r>
        <w:t xml:space="preserve">. As higher education institutions in this metropolitan hub face increasing global competition, the role of the University Lecturer has evolved from purely pedagogical duties to encompass complex research expectations, industry engagement, and community service. This document serves as a foundational guide for stakeholders involved in hiring, onboarding, and managing academic staff specifically situated in Melbourne.</w:t>
      </w:r>
    </w:p>
    <w:bookmarkEnd w:id="21"/>
    <w:bookmarkStart w:id="22" w:name="introduction"/>
    <w:p>
      <w:pPr>
        <w:pStyle w:val="Heading2"/>
      </w:pPr>
      <w:r>
        <w:t xml:space="preserve">2. Introduction</w:t>
      </w:r>
    </w:p>
    <w:p>
      <w:pPr>
        <w:pStyle w:val="FirstParagraph"/>
      </w:pPr>
      <w:r>
        <w:t xml:space="preserve">The city of</w:t>
      </w:r>
      <w:r>
        <w:t xml:space="preserve"> </w:t>
      </w:r>
      <w:r>
        <w:rPr>
          <w:bCs/>
          <w:b/>
        </w:rPr>
        <w:t xml:space="preserve">Australia Melbourne</w:t>
      </w:r>
      <w:r>
        <w:t xml:space="preserve"> </w:t>
      </w:r>
      <w:r>
        <w:t xml:space="preserve">stands as a premier global destination for tertiary education, hosting several world-class universities and a diverse student population. Within this context, the position of University Lecturer is pivotal to institutional success. This Project Report aims to dissect the multifaceted nature of this role, emphasizing why specific strategies must be adapted to local market conditions unique to Melbourne.</w:t>
      </w:r>
    </w:p>
    <w:p>
      <w:pPr>
        <w:pStyle w:val="BodyText"/>
      </w:pPr>
      <w:r>
        <w:t xml:space="preserve">Melbourne’s education sector is characterized by its multicultural dynamism and rigorous academic standards. Consequently, a standard recruitment approach is insufficient. Instead, a holistic project management framework must be applied to ensure that the University Lecturer hired possesses not only technical expertise but also cultural competency and alignment with Australian higher education regulations.</w:t>
      </w:r>
    </w:p>
    <w:bookmarkEnd w:id="22"/>
    <w:bookmarkStart w:id="24" w:name="role-definition"/>
    <w:bookmarkStart w:id="23" w:name="X288c8548736302ec8398f017c2f52eb72aa7719"/>
    <w:p>
      <w:pPr>
        <w:pStyle w:val="Heading2"/>
      </w:pPr>
      <w:r>
        <w:t xml:space="preserve">3. Definition of the University Lecturer Role</w:t>
      </w:r>
    </w:p>
    <w:p>
      <w:pPr>
        <w:pStyle w:val="FirstParagraph"/>
      </w:pPr>
      <w:r>
        <w:t xml:space="preserve">Understanding the core responsibilities is essential for effective project planning. In</w:t>
      </w:r>
      <w:r>
        <w:t xml:space="preserve"> </w:t>
      </w:r>
      <w:r>
        <w:rPr>
          <w:bCs/>
          <w:b/>
        </w:rPr>
        <w:t xml:space="preserve">Australia Melbourne</w:t>
      </w:r>
      <w:r>
        <w:t xml:space="preserve">, a University Lecturer typically operates within a tripartite framework:</w:t>
      </w:r>
    </w:p>
    <w:p>
      <w:pPr>
        <w:numPr>
          <w:ilvl w:val="0"/>
          <w:numId w:val="1001"/>
        </w:numPr>
        <w:pStyle w:val="Compact"/>
      </w:pPr>
      <w:r>
        <w:rPr>
          <w:bCs/>
          <w:b/>
        </w:rPr>
        <w:t xml:space="preserve">Teaching and Learning:</w:t>
      </w:r>
    </w:p>
    <w:p>
      <w:pPr>
        <w:pStyle w:val="FirstParagraph"/>
      </w:pPr>
      <w:r>
        <w:t xml:space="preserve">In this capacity, the lecturer is responsible for curriculum design, delivery of undergraduate and postgraduate seminars, assessment moderation, and student mentorship. Given the diverse demographics in Melbourne, there is a heightened emphasis on inclusive teaching practices that accommodate students from varied cultural backgrounds.</w:t>
      </w:r>
    </w:p>
    <w:p>
      <w:pPr>
        <w:pStyle w:val="BodyText"/>
      </w:pPr>
      <w:r>
        <w:rPr>
          <w:bCs/>
          <w:b/>
        </w:rPr>
        <w:t xml:space="preserve">Research Output:</w:t>
      </w:r>
    </w:p>
    <w:p>
      <w:pPr>
        <w:pStyle w:val="BodyText"/>
      </w:pPr>
      <w:r>
        <w:t xml:space="preserve">The University Lecturer must contribute to the institution’s research reputation. This involves securing external grant funding through Australian Research Council (ARC) mechanisms, publishing in high-impact journals, and supervising Honours and PhD candidates. Melbourne-based institutions often require a clear trajectory toward Professorial promotion, necessitating sustained research productivity.</w:t>
      </w:r>
    </w:p>
    <w:p>
      <w:pPr>
        <w:pStyle w:val="BodyText"/>
      </w:pPr>
      <w:r>
        <w:rPr>
          <w:bCs/>
          <w:b/>
        </w:rPr>
        <w:t xml:space="preserve">Community Engagement:</w:t>
      </w:r>
    </w:p>
    <w:p>
      <w:pPr>
        <w:pStyle w:val="BodyText"/>
      </w:pPr>
      <w:r>
        <w:t xml:space="preserve">In the Melbourne context, universities are increasingly pressured to demonstrate social impact. University Lecturers are expected to engage with local industries, government bodies, and community organizations in</w:t>
      </w:r>
      <w:r>
        <w:t xml:space="preserve"> </w:t>
      </w:r>
      <w:r>
        <w:rPr>
          <w:bCs/>
          <w:b/>
        </w:rPr>
        <w:t xml:space="preserve">Australia Melbourne</w:t>
      </w:r>
      <w:r>
        <w:t xml:space="preserve">, translating academic knowledge into practical societal benefits.</w:t>
      </w:r>
    </w:p>
    <w:bookmarkEnd w:id="23"/>
    <w:bookmarkEnd w:id="24"/>
    <w:bookmarkStart w:id="29" w:name="strategic-challenges"/>
    <w:bookmarkStart w:id="28" w:name="strategic-challenges-and-market-analysis"/>
    <w:p>
      <w:pPr>
        <w:pStyle w:val="Heading2"/>
      </w:pPr>
      <w:r>
        <w:t xml:space="preserve">4. Strategic Challenges and Market Analysis</w:t>
      </w:r>
    </w:p>
    <w:p>
      <w:pPr>
        <w:pStyle w:val="FirstParagraph"/>
      </w:pPr>
      <w:r>
        <w:t xml:space="preserve">This section of the Project Report identifies key challenges associated with filling University Lecturer vacancies in</w:t>
      </w:r>
      <w:r>
        <w:t xml:space="preserve"> </w:t>
      </w:r>
      <w:r>
        <w:rPr>
          <w:bCs/>
          <w:b/>
        </w:rPr>
        <w:t xml:space="preserve">Australia Melbourne</w:t>
      </w:r>
      <w:r>
        <w:t xml:space="preserve">.</w:t>
      </w:r>
    </w:p>
    <w:bookmarkStart w:id="25" w:name="talent-scarcity-and-competition"/>
    <w:p>
      <w:pPr>
        <w:pStyle w:val="Heading3"/>
      </w:pPr>
      <w:r>
        <w:t xml:space="preserve">4.1 Talent Scarcity and Competition</w:t>
      </w:r>
    </w:p>
    <w:p>
      <w:pPr>
        <w:pStyle w:val="FirstParagraph"/>
      </w:pPr>
      <w:r>
        <w:t xml:space="preserve">Melbourne competes directly with Sydney, Brisbane, and international hubs such as London and Singapore for top academic talent. The scarcity of specialists in emerging fields (e.g., Artificial Intelligence, Sustainable Engineering) requires competitive remuneration packages.</w:t>
      </w:r>
    </w:p>
    <w:bookmarkEnd w:id="25"/>
    <w:bookmarkStart w:id="26" w:name="regulatory-compliance"/>
    <w:p>
      <w:pPr>
        <w:pStyle w:val="Heading3"/>
      </w:pPr>
      <w:r>
        <w:t xml:space="preserve">4.2 Regulatory Compliance</w:t>
      </w:r>
    </w:p>
    <w:p>
      <w:pPr>
        <w:pStyle w:val="FirstParagraph"/>
      </w:pPr>
      <w:r>
        <w:t xml:space="preserve">The higher education sector in</w:t>
      </w:r>
      <w:r>
        <w:t xml:space="preserve"> </w:t>
      </w:r>
      <w:r>
        <w:rPr>
          <w:bCs/>
          <w:b/>
        </w:rPr>
        <w:t xml:space="preserve">Australia Melbourne</w:t>
      </w:r>
      <w:r>
        <w:t xml:space="preserve"> </w:t>
      </w:r>
      <w:r>
        <w:t xml:space="preserve">is heavily regulated by the Tertiary Education Quality and Standards Agency (TEQSA). Any Project Report concerning staff recruitment must ensure full compliance with workplace laws, including fair work conditions, professional development requirements, and diversity and inclusion mandates.</w:t>
      </w:r>
    </w:p>
    <w:bookmarkEnd w:id="26"/>
    <w:bookmarkStart w:id="27" w:name="cost-of-living-dynamics"/>
    <w:p>
      <w:pPr>
        <w:pStyle w:val="Heading3"/>
      </w:pPr>
      <w:r>
        <w:t xml:space="preserve">4.3 Cost of Living Dynamics</w:t>
      </w:r>
    </w:p>
    <w:p>
      <w:pPr>
        <w:pStyle w:val="FirstParagraph"/>
      </w:pPr>
      <w:r>
        <w:t xml:space="preserve">While Melbourne is more affordable than Sydney, the cost of living remains a significant factor for prospective University Lecturers. Relocation packages and housing support are often critical components of successful recruitment strategies in this city.</w:t>
      </w:r>
    </w:p>
    <w:bookmarkEnd w:id="27"/>
    <w:bookmarkEnd w:id="28"/>
    <w:bookmarkEnd w:id="29"/>
    <w:bookmarkStart w:id="31" w:name="implementation-plan"/>
    <w:bookmarkStart w:id="30" w:name="X62a0fc19f48d37778073d8e5a936fb559e5ed5f"/>
    <w:p>
      <w:pPr>
        <w:pStyle w:val="Heading2"/>
      </w:pPr>
      <w:r>
        <w:t xml:space="preserve">5. Implementation Plan for Recruitment and Onboarding</w:t>
      </w:r>
    </w:p>
    <w:p>
      <w:pPr>
        <w:pStyle w:val="FirstParagraph"/>
      </w:pPr>
      <w:r>
        <w:t xml:space="preserve">To address the challenges outlined above, the following phased approach is recommended for the University Lecturer project in</w:t>
      </w:r>
      <w:r>
        <w:t xml:space="preserve"> </w:t>
      </w:r>
      <w:r>
        <w:rPr>
          <w:bCs/>
          <w:b/>
        </w:rPr>
        <w:t xml:space="preserve">Australia Melbourne</w:t>
      </w:r>
      <w:r>
        <w:t xml:space="preserve">.</w:t>
      </w:r>
    </w:p>
    <w:p>
      <w:pPr>
        <w:numPr>
          <w:ilvl w:val="0"/>
          <w:numId w:val="1002"/>
        </w:numPr>
        <w:pStyle w:val="Compact"/>
      </w:pPr>
      <w:r>
        <w:rPr>
          <w:bCs/>
          <w:b/>
        </w:rPr>
        <w:t xml:space="preserve">Phase 1: Needs Assessment and Job Design</w:t>
      </w:r>
    </w:p>
    <w:p>
      <w:pPr>
        <w:pStyle w:val="FirstParagraph"/>
      </w:pPr>
      <w:r>
        <w:t xml:space="preserve">Analyze current departmental gaps to determine if a full-time or casual appointment is required. Define key performance indicators (KPIs) that balance teaching loads with research expectations, tailored to the specific discipline.</w:t>
      </w:r>
    </w:p>
    <w:p>
      <w:pPr>
        <w:pStyle w:val="BodyText"/>
      </w:pPr>
      <w:r>
        <w:rPr>
          <w:bCs/>
          <w:b/>
        </w:rPr>
        <w:t xml:space="preserve">Phase 2: Targeted Sourcing</w:t>
      </w:r>
    </w:p>
    <w:p>
      <w:pPr>
        <w:pStyle w:val="BodyText"/>
      </w:pPr>
      <w:r>
        <w:t xml:space="preserve">Leverage specialized academic job boards and international networks. Highlight Melbourne’s cultural amenities, such as its arts scene and sports infrastructure, to attract candidates who value quality of life.</w:t>
      </w:r>
    </w:p>
    <w:p>
      <w:pPr>
        <w:pStyle w:val="BodyText"/>
      </w:pPr>
      <w:r>
        <w:rPr>
          <w:bCs/>
          <w:b/>
        </w:rPr>
        <w:t xml:space="preserve">Phase 3: Rigorous Selection Process</w:t>
      </w:r>
    </w:p>
    <w:p>
      <w:pPr>
        <w:pStyle w:val="BodyText"/>
      </w:pPr>
      <w:r>
        <w:t xml:space="preserve">The selection committee must include peers from within</w:t>
      </w:r>
      <w:r>
        <w:t xml:space="preserve"> </w:t>
      </w:r>
      <w:r>
        <w:rPr>
          <w:bCs/>
          <w:b/>
        </w:rPr>
        <w:t xml:space="preserve">Australia Melbourne</w:t>
      </w:r>
      <w:r>
        <w:t xml:space="preserve"> </w:t>
      </w:r>
      <w:r>
        <w:t xml:space="preserve">institutions to ensure local contextual understanding. Interviews should assess cultural fit, research potential, and teaching philosophy simultaneously.</w:t>
      </w:r>
    </w:p>
    <w:p>
      <w:pPr>
        <w:pStyle w:val="BodyText"/>
      </w:pPr>
      <w:r>
        <w:rPr>
          <w:bCs/>
          <w:b/>
        </w:rPr>
        <w:t xml:space="preserve">Phase 4: Onboarding and Induction</w:t>
      </w:r>
    </w:p>
    <w:p>
      <w:pPr>
        <w:pStyle w:val="BodyText"/>
      </w:pPr>
      <w:r>
        <w:t xml:space="preserve">A comprehensive induction program is vital. For University Lecturers new to the region, this must include orientation on Australian academic culture, TEQSA compliance, and local resources in Melbourne. Mentorship from senior academics can significantly reduce early-career attrition rates.</w:t>
      </w:r>
    </w:p>
    <w:bookmarkEnd w:id="30"/>
    <w:bookmarkEnd w:id="31"/>
    <w:bookmarkStart w:id="34" w:name="budget-and-resources"/>
    <w:bookmarkStart w:id="33" w:name="budgetary-considerations"/>
    <w:p>
      <w:pPr>
        <w:pStyle w:val="Heading2"/>
      </w:pPr>
      <w:r>
        <w:t xml:space="preserve">6. Budgetary Considerations</w:t>
      </w:r>
    </w:p>
    <w:p>
      <w:pPr>
        <w:pStyle w:val="FirstParagraph"/>
      </w:pPr>
      <w:r>
        <w:t xml:space="preserve">Funding for the University Lecturer role must be allocated carefully. The budget should encompass:</w:t>
      </w:r>
    </w:p>
    <w:p>
      <w:pPr>
        <w:numPr>
          <w:ilvl w:val="0"/>
          <w:numId w:val="1003"/>
        </w:numPr>
        <w:pStyle w:val="Compact"/>
      </w:pPr>
      <w:r>
        <w:t xml:space="preserve">Base salary, which must align with the Fair Work Commission’s Academic Enterprise Agreements.</w:t>
      </w:r>
    </w:p>
    <w:p>
      <w:pPr>
        <w:pStyle w:val="FirstParagraph"/>
      </w:pPr>
      <w:r>
        <w:t xml:space="preserve">Professional development funds for pedagogical training.</w:t>
      </w:r>
    </w:p>
    <w:bookmarkStart w:id="32" w:name="maintenance-costs"/>
    <w:p>
      <w:pPr>
        <w:pStyle w:val="Heading3"/>
      </w:pPr>
      <w:r>
        <w:t xml:space="preserve">Maintenance Costs</w:t>
      </w:r>
    </w:p>
    <w:p>
      <w:pPr>
        <w:pStyle w:val="FirstParagraph"/>
      </w:pPr>
      <w:r>
        <w:t xml:space="preserve">Ongoing costs include access to library databases, laboratory equipment (if applicable), and administrative support. Investing in these resources ensures that the University Lecturer can perform at an international standard.</w:t>
      </w:r>
    </w:p>
    <w:bookmarkEnd w:id="32"/>
    <w:bookmarkEnd w:id="33"/>
    <w:bookmarkEnd w:id="34"/>
    <w:bookmarkStart w:id="35" w:name="risk-management"/>
    <w:p>
      <w:pPr>
        <w:pStyle w:val="Heading2"/>
      </w:pPr>
      <w:r>
        <w:t xml:space="preserve">7. Risk Management</w:t>
      </w:r>
    </w:p>
    <w:p>
      <w:pPr>
        <w:pStyle w:val="FirstParagraph"/>
      </w:pPr>
      <w:r>
        <w:t xml:space="preserve">Risks associated with the University Lecturer project in</w:t>
      </w:r>
      <w:r>
        <w:t xml:space="preserve"> </w:t>
      </w:r>
      <w:r>
        <w:rPr>
          <w:bCs/>
          <w:b/>
        </w:rPr>
        <w:t xml:space="preserve">Australia Melbourne</w:t>
      </w:r>
      <w:r>
        <w:t xml:space="preserve"> </w:t>
      </w:r>
      <w:r>
        <w:t xml:space="preserve">include:</w:t>
      </w:r>
    </w:p>
    <w:p>
      <w:pPr>
        <w:numPr>
          <w:ilvl w:val="0"/>
          <w:numId w:val="1004"/>
        </w:numPr>
        <w:pStyle w:val="Compact"/>
      </w:pPr>
      <w:r>
        <w:rPr>
          <w:bCs/>
          <w:b/>
        </w:rPr>
        <w:t xml:space="preserve">Talent Leakage:</w:t>
      </w:r>
    </w:p>
    <w:p>
      <w:pPr>
        <w:pStyle w:val="FirstParagraph"/>
      </w:pPr>
      <w:r>
        <w:t xml:space="preserve">Misalignment of Expectations: A common risk is the disconnect between university expectations and the lecturer’s understanding of workload. Clear documentation during the onboarding phase mitigates this.</w:t>
      </w:r>
    </w:p>
    <w:p>
      <w:pPr>
        <w:pStyle w:val="BodyText"/>
      </w:pPr>
      <w:r>
        <w:t xml:space="preserve">Regulatory Changes: Shifts in government policy regarding international student visas or research funding can impact departmental stability. The Project Report must remain adaptable to such macroeconomic shifts.</w:t>
      </w:r>
    </w:p>
    <w:bookmarkEnd w:id="35"/>
    <w:bookmarkStart w:id="36" w:name="conclusion"/>
    <w:p>
      <w:pPr>
        <w:pStyle w:val="Heading2"/>
      </w:pPr>
      <w:r>
        <w:t xml:space="preserve">8. Conclusion</w:t>
      </w:r>
    </w:p>
    <w:p>
      <w:pPr>
        <w:pStyle w:val="FirstParagraph"/>
      </w:pPr>
      <w:r>
        <w:t xml:space="preserve">In conclusion, the successful acquisition and management of a University Lecturer position in</w:t>
      </w:r>
      <w:r>
        <w:t xml:space="preserve"> </w:t>
      </w:r>
      <w:r>
        <w:rPr>
          <w:bCs/>
          <w:b/>
        </w:rPr>
        <w:t xml:space="preserve">Australia Melbourne</w:t>
      </w:r>
      <w:r>
        <w:t xml:space="preserve"> </w:t>
      </w:r>
      <w:r>
        <w:t xml:space="preserve">requires a nuanced, strategic approach. This Project Report has demonstrated that the role is not merely an academic posting but a complex project involving legal compliance, cultural integration, and strategic resource allocation.</w:t>
      </w:r>
    </w:p>
    <w:p>
      <w:pPr>
        <w:pStyle w:val="BodyText"/>
      </w:pPr>
      <w:r>
        <w:t xml:space="preserve">Melbourne’s status as Australia’s education capital offers unique opportunities for innovation and collaboration. By adhering to the frameworks outlined in this report, institutions can secure high-quality faculty who contribute significantly to the global reputation of Australian higher education. The emphasis must remain on creating a supportive environment that fosters research excellence and pedagogical innovation, ensuring long-term sustainability for both the lecturer and the institution.</w:t>
      </w:r>
    </w:p>
    <w:p>
      <w:pPr>
        <w:pStyle w:val="BodyText"/>
      </w:pPr>
      <w:r>
        <w:t xml:space="preserve">It is recommended that stakeholders review this Project Report quarterly to adapt to changing dynamics within the</w:t>
      </w:r>
      <w:r>
        <w:t xml:space="preserve"> </w:t>
      </w:r>
      <w:r>
        <w:rPr>
          <w:bCs/>
          <w:b/>
        </w:rPr>
        <w:t xml:space="preserve">Australia Melbourne</w:t>
      </w:r>
      <w:r>
        <w:t xml:space="preserve"> </w:t>
      </w:r>
      <w:r>
        <w:t xml:space="preserve">academic sector. Continuous improvement in recruitment strategies will be key to maintaining a competitive edge.</w:t>
      </w:r>
    </w:p>
    <w:bookmarkEnd w:id="36"/>
    <w:p>
      <w:pPr>
        <w:pStyle w:val="BodyText"/>
      </w:pPr>
      <w:r>
        <w:rPr>
          <w:iCs/>
          <w:i/>
        </w:rPr>
        <w:t xml:space="preserve">End of Project Report on University Lecturer Position in Australia Melbourne</w:t>
      </w:r>
    </w:p>
    <w:p>
      <w:pPr>
        <w:pStyle w:val="BodyText"/>
      </w:pPr>
      <w:r>
        <w:rPr>
          <w:bCs/>
          <w:b/>
        </w:rPr>
        <w:t xml:space="preserve">Prepared By:</w:t>
      </w:r>
      <w:r>
        <w:t xml:space="preserve"> </w:t>
      </w:r>
      <w:r>
        <w:t xml:space="preserve">Strategic Recruitment Division</w:t>
      </w:r>
      <w:r>
        <w:br/>
      </w:r>
      <w:r>
        <w:rPr>
          <w:bCs/>
          <w:b/>
        </w:rPr>
        <w:t xml:space="preserve">Contact:</w:t>
      </w:r>
    </w:p>
    <w:p>
      <w:pPr>
        <w:pStyle w:val="BodyText"/>
      </w:pPr>
      <w:r>
        <w:t xml:space="preserve">.</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University Lecturer Position in Australia Melbourne</dc:title>
  <dc:creator/>
  <dc:language>en</dc:language>
  <cp:keywords/>
  <dcterms:created xsi:type="dcterms:W3CDTF">2026-07-29T18:02:24Z</dcterms:created>
  <dcterms:modified xsi:type="dcterms:W3CDTF">2026-07-29T18:02:24Z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