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France</w:t>
      </w:r>
      <w:r>
        <w:t xml:space="preserve"> </w:t>
      </w:r>
      <w:r>
        <w:t xml:space="preserve">Paris</w:t>
      </w:r>
    </w:p>
    <w:bookmarkStart w:id="31" w:name="Xbf83871d6b80fadc5d9e48322e2859065fdeea5"/>
    <w:p>
      <w:pPr>
        <w:pStyle w:val="Heading1"/>
      </w:pPr>
      <w:r>
        <w:t xml:space="preserve">Project Report: Strategic Implementation of a University Lecturer Role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Academic Recruitment Committee</w:t>
      </w:r>
      <w:r>
        <w:br/>
      </w:r>
      <w:r>
        <w:rPr>
          <w:bCs/>
          <w:b/>
        </w:rPr>
        <w:t xml:space="preserve">From:</w:t>
      </w:r>
      <w:r>
        <w:t xml:space="preserve"> </w:t>
      </w:r>
      <w:r>
        <w:t xml:space="preserve">Project Management Office</w:t>
      </w:r>
      <w:r>
        <w:br/>
      </w:r>
    </w:p>
    <w:bookmarkStart w:id="20" w:name="introduction-and-context"/>
    <w:p>
      <w:pPr>
        <w:pStyle w:val="Heading2"/>
      </w:pPr>
      <w:r>
        <w:t xml:space="preserve">1. Introduction and Context</w:t>
      </w:r>
    </w:p>
    <w:p>
      <w:pPr>
        <w:pStyle w:val="FirstParagraph"/>
      </w:pPr>
      <w:r>
        <w:t xml:space="preserve">The global higher education landscape is increasingly competitive, with institutions striving to maintain academic excellence while fostering international collaboration. This report outlines the strategic necessity and operational framework for establishing a dedicated University Lecturer position within our partner network in France Paris. As one of the world's most significant cultural and academic capitals, France Paris offers a unique ecosystem that combines historical prestige with modern innovation.</w:t>
      </w:r>
    </w:p>
    <w:p>
      <w:pPr>
        <w:pStyle w:val="BodyText"/>
      </w:pPr>
      <w:r>
        <w:t xml:space="preserve">The primary objective of this project is to recruit and integrate a high-caliber University Lecturer who can bridge disciplinary gaps, enhance the curriculum through international perspectives, and strengthen our institutional ties within the French higher education sector. By focusing on France Paris, we aim to leverage its reputation as a hub for arts, sciences, humanities, and business studies.</w:t>
      </w:r>
    </w:p>
    <w:bookmarkEnd w:id="20"/>
    <w:bookmarkStart w:id="21" w:name="strategic-objectives"/>
    <w:p>
      <w:pPr>
        <w:pStyle w:val="Heading2"/>
      </w:pPr>
      <w:r>
        <w:t xml:space="preserve">2. Strategic Objectives</w:t>
      </w:r>
    </w:p>
    <w:p>
      <w:pPr>
        <w:pStyle w:val="FirstParagraph"/>
      </w:pPr>
      <w:r>
        <w:t xml:space="preserve">The appointment of this University Lecturer is driven by several key strategic goals tailored specifically to the French academic context:</w:t>
      </w:r>
    </w:p>
    <w:p>
      <w:pPr>
        <w:numPr>
          <w:ilvl w:val="0"/>
          <w:numId w:val="1001"/>
        </w:numPr>
        <w:pStyle w:val="Compact"/>
      </w:pPr>
      <w:r>
        <w:rPr>
          <w:bCs/>
          <w:b/>
        </w:rPr>
        <w:t xml:space="preserve">Curriculum Enrichment:</w:t>
      </w:r>
      <w:r>
        <w:t xml:space="preserve">To introduce contemporary research methodologies and global case studies that resonate with both local students in France Paris and our international student body.</w:t>
      </w:r>
    </w:p>
    <w:p>
      <w:pPr>
        <w:numPr>
          <w:ilvl w:val="0"/>
          <w:numId w:val="1001"/>
        </w:numPr>
        <w:pStyle w:val="Compact"/>
      </w:pPr>
      <w:r>
        <w:rPr>
          <w:bCs/>
          <w:b/>
        </w:rPr>
        <w:t xml:space="preserve">Institutional Prestige:</w:t>
      </w:r>
      <w:r>
        <w:t xml:space="preserve">To enhance the university's ranking and reputation by showcasing active scholarship produced within one of Europe’s most vibrant intellectual centers.</w:t>
      </w:r>
    </w:p>
    <w:p>
      <w:pPr>
        <w:numPr>
          <w:ilvl w:val="0"/>
          <w:numId w:val="1001"/>
        </w:numPr>
        <w:pStyle w:val="Compact"/>
      </w:pPr>
      <w:r>
        <w:rPr>
          <w:bCs/>
          <w:b/>
        </w:rPr>
        <w:t xml:space="preserve">Cultural Integration:</w:t>
      </w:r>
      <w:r>
        <w:t xml:space="preserve">To facilitate a deeper understanding of European academic traditions, ensuring that our teaching standards align with the rigorous expectations of the French Ministry of Higher Education and Research.</w:t>
      </w:r>
    </w:p>
    <w:p>
      <w:pPr>
        <w:numPr>
          <w:ilvl w:val="0"/>
          <w:numId w:val="1001"/>
        </w:numPr>
        <w:pStyle w:val="Compact"/>
      </w:pPr>
      <w:r>
        <w:rPr>
          <w:bCs/>
          <w:b/>
        </w:rPr>
        <w:t xml:space="preserve">Research Collaboration:</w:t>
      </w:r>
      <w:r>
        <w:t xml:space="preserve">To initiate joint research projects with prominent universities located in France Paris, such as Sorbonne Université or Sciences Po, thereby expanding our network.</w:t>
      </w:r>
    </w:p>
    <w:bookmarkEnd w:id="21"/>
    <w:bookmarkStart w:id="22" w:name="role-definition-the-university-lecturer"/>
    <w:p>
      <w:pPr>
        <w:pStyle w:val="Heading2"/>
      </w:pPr>
      <w:r>
        <w:t xml:space="preserve">3. Role Definition: The University Lecturer</w:t>
      </w:r>
    </w:p>
    <w:p>
      <w:pPr>
        <w:pStyle w:val="FirstParagraph"/>
      </w:pPr>
      <w:r>
        <w:t xml:space="preserve">The role of the University Lecturer is multifaceted. Unlike traditional teaching positions, this role emphasizes the synthesis of pedagogy and high-impact research. The selected candidate will be responsible for:</w:t>
      </w:r>
    </w:p>
    <w:p>
      <w:pPr>
        <w:numPr>
          <w:ilvl w:val="0"/>
          <w:numId w:val="1002"/>
        </w:numPr>
        <w:pStyle w:val="Compact"/>
      </w:pPr>
      <w:r>
        <w:rPr>
          <w:bCs/>
          <w:b/>
        </w:rPr>
        <w:t xml:space="preserve">Lecture Delivery:</w:t>
      </w:r>
      <w:r>
        <w:t xml:space="preserve"> </w:t>
      </w:r>
      <w:r>
        <w:t xml:space="preserve">Delivering high-quality seminars and lectures in their specialized field, adapting to the diverse linguistic and cultural backgrounds present in a Parisian university setting.</w:t>
      </w:r>
    </w:p>
    <w:p>
      <w:pPr>
        <w:numPr>
          <w:ilvl w:val="0"/>
          <w:numId w:val="1002"/>
        </w:numPr>
        <w:pStyle w:val="Compact"/>
      </w:pPr>
      <w:r>
        <w:rPr>
          <w:bCs/>
          <w:b/>
        </w:rPr>
        <w:t xml:space="preserve">Mentorship:</w:t>
      </w:r>
      <w:r>
        <w:t xml:space="preserve"> </w:t>
      </w:r>
      <w:r>
        <w:t xml:space="preserve">Providing academic guidance to undergraduate and postgraduate students, preparing them for careers in an increasingly globalized job market.</w:t>
      </w:r>
    </w:p>
    <w:p>
      <w:pPr>
        <w:numPr>
          <w:ilvl w:val="0"/>
          <w:numId w:val="1002"/>
        </w:numPr>
        <w:pStyle w:val="Compact"/>
      </w:pPr>
      <w:r>
        <w:rPr>
          <w:bCs/>
          <w:b/>
        </w:rPr>
        <w:t xml:space="preserve">Scholarly Output:</w:t>
      </w:r>
      <w:r>
        <w:t xml:space="preserve"> </w:t>
      </w:r>
      <w:r>
        <w:t xml:space="preserve">Publishing findings in peer-reviewed journals and presenting at conferences. This output is critical for maintaining the university's research profile.</w:t>
      </w:r>
    </w:p>
    <w:p>
      <w:pPr>
        <w:numPr>
          <w:ilvl w:val="0"/>
          <w:numId w:val="1002"/>
        </w:numPr>
        <w:pStyle w:val="Compact"/>
      </w:pPr>
      <w:r>
        <w:rPr>
          <w:bCs/>
          <w:b/>
        </w:rPr>
        <w:t xml:space="preserve">Administrative Contribution:</w:t>
      </w:r>
      <w:r>
        <w:t xml:space="preserve"> </w:t>
      </w:r>
      <w:r>
        <w:t xml:space="preserve">Participating in departmental meetings, curriculum development committees, and accreditation processes required by French academic authorities.</w:t>
      </w:r>
    </w:p>
    <w:bookmarkEnd w:id="22"/>
    <w:bookmarkStart w:id="23" w:name="the-france-paris-advantage"/>
    <w:p>
      <w:pPr>
        <w:pStyle w:val="Heading2"/>
      </w:pPr>
      <w:r>
        <w:t xml:space="preserve">4. The France Paris Advantage</w:t>
      </w:r>
    </w:p>
    <w:p>
      <w:pPr>
        <w:pStyle w:val="FirstParagraph"/>
      </w:pPr>
      <w:r>
        <w:t xml:space="preserve">Situating this project in France Paris is not merely a logistical choice but a strategic imperative. France Paris serves as a crossroads for ideas, bringing together scholars from across the globe. The presence of world-class museums, libraries, and research institutes provides the University Lecturer with unparalleled resources for their work.</w:t>
      </w:r>
    </w:p>
    <w:p>
      <w:pPr>
        <w:pStyle w:val="BodyText"/>
      </w:pPr>
      <w:r>
        <w:t xml:space="preserve">Furthermore, the cultural richness of France Paris enhances the student experience. Students benefit from exposure to diverse artistic and intellectual movements that originate or flourish in this city. For our institution, being physically present in France Paris signals a commitment to international engagement and provides a competitive edge in recruiting top-tier talent.</w:t>
      </w:r>
    </w:p>
    <w:bookmarkEnd w:id="23"/>
    <w:bookmarkStart w:id="24" w:name="implementation-timeline"/>
    <w:p>
      <w:pPr>
        <w:pStyle w:val="Heading2"/>
      </w:pPr>
      <w:r>
        <w:t xml:space="preserve">5. Implementation Timeline</w:t>
      </w:r>
    </w:p>
    <w:p>
      <w:pPr>
        <w:pStyle w:val="FirstParagraph"/>
      </w:pPr>
      <w:r>
        <w:rPr>
          <w:bCs/>
          <w:b/>
        </w:rPr>
        <w:t xml:space="preserve">Milestone</w:t>
      </w:r>
    </w:p>
    <w:bookmarkEnd w:id="24"/>
    <w:p>
      <w:pPr>
        <w:pStyle w:val="BodyText"/>
      </w:pPr>
      <w:r>
        <w:rPr>
          <w:bCs/>
          <w:b/>
        </w:rPr>
        <w:t xml:space="preserve">Description</w:t>
      </w:r>
    </w:p>
    <w:p>
      <w:pPr>
        <w:pStyle w:val="BodyText"/>
      </w:pPr>
      <w:r>
        <w:t xml:space="preserve">Date (Estimated)</w:t>
      </w:r>
    </w:p>
    <w:p>
      <w:pPr>
        <w:pStyle w:val="BodyText"/>
      </w:pPr>
      <w:r>
        <w:t xml:space="preserve">:td:</w:t>
      </w:r>
    </w:p>
    <w:p>
      <w:pPr>
        <w:pStyle w:val="BodyText"/>
      </w:pPr>
      <w:r>
        <w:t xml:space="preserve">:</w:t>
      </w:r>
    </w:p>
    <w:p>
      <w:pPr>
        <w:pStyle w:val="BodyText"/>
      </w:pPr>
      <w:r>
        <w:t xml:space="preserve">:div:&gt;</w:t>
      </w:r>
    </w:p>
    <w:bookmarkStart w:id="27" w:name="implementation-timeline-1"/>
    <w:p>
      <w:pPr>
        <w:pStyle w:val="Heading2"/>
      </w:pPr>
      <w:r>
        <w:t xml:space="preserve">5. Implementation Timeline</w:t>
      </w:r>
    </w:p>
    <w:p>
      <w:pPr>
        <w:pStyle w:val="FirstParagraph"/>
      </w:pPr>
      <w:r>
        <w:t xml:space="preserve">Milestone</w:t>
      </w:r>
    </w:p>
    <w:p>
      <w:pPr>
        <w:pStyle w:val="BodyText"/>
      </w:pPr>
      <w:r>
        <w:t xml:space="preserve">Description</w:t>
      </w:r>
    </w:p>
    <w:p>
      <w:pPr>
        <w:pStyle w:val="BodyText"/>
      </w:pPr>
      <w:r>
        <w:t xml:space="preserve">Date (Estimated)</w:t>
      </w:r>
    </w:p>
    <w:p>
      <w:pPr>
        <w:pStyle w:val="BodyText"/>
      </w:pPr>
      <w:r>
        <w:t xml:space="preserve">:tbody:</w:t>
      </w:r>
    </w:p>
    <w:p>
      <w:pPr>
        <w:pStyle w:val="BodyText"/>
      </w:pPr>
      <w:r>
        <w:t xml:space="preserve">:div:&gt;</w:t>
      </w:r>
    </w:p>
    <w:bookmarkStart w:id="25" w:name="project-timeline"/>
    <w:p>
      <w:pPr>
        <w:pStyle w:val="Heading3"/>
      </w:pPr>
      <w:r>
        <w:t xml:space="preserve">Project Timeline</w:t>
      </w:r>
    </w:p>
    <w:p>
      <w:pPr>
        <w:pStyle w:val="FirstParagraph"/>
      </w:pPr>
      <w:r>
        <w:rPr>
          <w:bCs/>
          <w:b/>
        </w:rPr>
        <w:t xml:space="preserve">Milestone</w:t>
      </w:r>
    </w:p>
    <w:p>
      <w:pPr>
        <w:pStyle w:val="BodyText"/>
      </w:pPr>
      <w:r>
        <w:rPr>
          <w:bCs/>
          <w:b/>
        </w:rPr>
        <w:t xml:space="preserve">Description</w:t>
      </w:r>
    </w:p>
    <w:p>
      <w:pPr>
        <w:pStyle w:val="BodyText"/>
      </w:pPr>
      <w:r>
        <w:t xml:space="preserve">Date (Estimated):tbody:</w:t>
      </w:r>
    </w:p>
    <w:p>
      <w:pPr>
        <w:pStyle w:val="BodyText"/>
      </w:pPr>
      <w:r>
        <w:t xml:space="preserve">:div:&gt;</w:t>
      </w:r>
    </w:p>
    <w:bookmarkEnd w:id="25"/>
    <w:bookmarkStart w:id="26" w:name="implementation-phases"/>
    <w:p>
      <w:pPr>
        <w:pStyle w:val="Heading3"/>
      </w:pPr>
      <w:r>
        <w:t xml:space="preserve">Implementation Phases</w:t>
      </w:r>
    </w:p>
    <w:p>
      <w:pPr>
        <w:numPr>
          <w:ilvl w:val="0"/>
          <w:numId w:val="1003"/>
        </w:numPr>
        <w:pStyle w:val="Compact"/>
      </w:pPr>
      <w:r>
        <w:rPr>
          <w:bCs/>
          <w:b/>
        </w:rPr>
        <w:t xml:space="preserve">Phase 1: Recruitment (Months 1-2):</w:t>
      </w:r>
    </w:p>
    <w:p>
      <w:pPr>
        <w:numPr>
          <w:ilvl w:val="0"/>
          <w:numId w:val="1000"/>
        </w:numPr>
        <w:pStyle w:val="Compact"/>
      </w:pPr>
      <w:r>
        <w:t xml:space="preserve">:li:</w:t>
      </w:r>
    </w:p>
    <w:p>
      <w:pPr>
        <w:numPr>
          <w:ilvl w:val="0"/>
          <w:numId w:val="1003"/>
        </w:numPr>
        <w:pStyle w:val="Compact"/>
      </w:pPr>
      <w:r>
        <w:t xml:space="preserve">Phase 2: Relocation and Onboarding (Months 3-4):</w:t>
      </w:r>
    </w:p>
    <w:p>
      <w:pPr>
        <w:numPr>
          <w:ilvl w:val="0"/>
          <w:numId w:val="1000"/>
        </w:numPr>
        <w:pStyle w:val="Compact"/>
      </w:pPr>
      <w:r>
        <w:t xml:space="preserve">:li:</w:t>
      </w:r>
    </w:p>
    <w:p>
      <w:pPr>
        <w:pStyle w:val="FirstParagraph"/>
      </w:pPr>
      <w:r>
        <w:t xml:space="preserve">:div:&gt;</w:t>
      </w:r>
    </w:p>
    <w:bookmarkEnd w:id="26"/>
    <w:bookmarkEnd w:id="27"/>
    <w:bookmarkStart w:id="28" w:name="budgetary-considerations"/>
    <w:p>
      <w:pPr>
        <w:pStyle w:val="Heading2"/>
      </w:pPr>
      <w:r>
        <w:t xml:space="preserve">6. Budgetary Considerations</w:t>
      </w:r>
    </w:p>
    <w:p>
      <w:pPr>
        <w:pStyle w:val="FirstParagraph"/>
      </w:pPr>
      <w:r>
        <w:t xml:space="preserve">Funding this initiative requires a comprehensive budget that accounts for the higher cost of living in France Paris compared to many other European cities. Key expenditure areas include:</w:t>
      </w:r>
    </w:p>
    <w:p>
      <w:pPr>
        <w:pStyle w:val="BodyText"/>
      </w:pPr>
      <w:r>
        <w:rPr>
          <w:bCs/>
          <w:b/>
        </w:rPr>
        <w:t xml:space="preserve">Salary Package:</w:t>
      </w:r>
    </w:p>
    <w:p>
      <w:pPr>
        <w:pStyle w:val="BodyText"/>
      </w:pPr>
      <w:r>
        <w:t xml:space="preserve">:li:</w:t>
      </w:r>
    </w:p>
    <w:p>
      <w:pPr>
        <w:pStyle w:val="BodyText"/>
      </w:pPr>
      <w:r>
        <w:t xml:space="preserve">Housing Allowance:</w:t>
      </w:r>
    </w:p>
    <w:p>
      <w:pPr>
        <w:pStyle w:val="BodyText"/>
      </w:pPr>
      <w:r>
        <w:t xml:space="preserve">:li:</w:t>
      </w:r>
    </w:p>
    <w:p>
      <w:pPr>
        <w:pStyle w:val="BodyText"/>
      </w:pPr>
      <w:r>
        <w:rPr>
          <w:bCs/>
          <w:b/>
        </w:rPr>
        <w:t xml:space="preserve">Research Grants:div:&gt;</w:t>
      </w:r>
    </w:p>
    <w:bookmarkEnd w:id="28"/>
    <w:bookmarkStart w:id="29" w:name="budgetary-considerations-1"/>
    <w:p>
      <w:pPr>
        <w:pStyle w:val="Heading2"/>
      </w:pPr>
      <w:r>
        <w:t xml:space="preserve">6. Budgetary Considerations</w:t>
      </w:r>
    </w:p>
    <w:p>
      <w:pPr>
        <w:pStyle w:val="FirstParagraph"/>
      </w:pPr>
      <w:r>
        <w:t xml:space="preserve">Funding this initiative requires a comprehensive budget that accounts for the higher cost of living in France Paris compared to many other European cities. Key expenditure areas include:</w:t>
      </w:r>
    </w:p>
    <w:p>
      <w:pPr>
        <w:pStyle w:val="BodyText"/>
      </w:pPr>
      <w:r>
        <w:rPr>
          <w:bCs/>
          <w:b/>
        </w:rPr>
        <w:t xml:space="preserve">Salary Package:</w:t>
      </w:r>
    </w:p>
    <w:p>
      <w:pPr>
        <w:pStyle w:val="BodyText"/>
      </w:pPr>
      <w:r>
        <w:rPr>
          <w:bCs/>
          <w:b/>
        </w:rPr>
        <w:t xml:space="preserve">Housing Allowance:</w:t>
      </w:r>
    </w:p>
    <w:p>
      <w:pPr>
        <w:pStyle w:val="BodyText"/>
      </w:pPr>
      <w:r>
        <w:rPr>
          <w:bCs/>
          <w:b/>
        </w:rPr>
        <w:t xml:space="preserve">Research Grants: :div:&gt;</w:t>
      </w:r>
    </w:p>
    <w:bookmarkEnd w:id="29"/>
    <w:bookmarkStart w:id="30" w:name="budgetary-considerations-2"/>
    <w:p>
      <w:pPr>
        <w:pStyle w:val="Heading2"/>
      </w:pPr>
      <w:r>
        <w:t xml:space="preserve">6. Budgetary Considerations</w:t>
      </w:r>
    </w:p>
    <w:p>
      <w:pPr>
        <w:pStyle w:val="FirstParagraph"/>
      </w:pPr>
      <w:r>
        <w:t xml:space="preserve">Funding this initiative requires a comprehensive budget that accounts for the higher cost of living in France Paris compared to many other European cities. Key expenditure areas include:</w:t>
      </w:r>
    </w:p>
    <w:p>
      <w:pPr>
        <w:pStyle w:val="BodyText"/>
      </w:pPr>
      <w:r>
        <w:rPr>
          <w:bCs/>
          <w:b/>
        </w:rPr>
        <w:t xml:space="preserve">Salary Package:</w:t>
      </w:r>
    </w:p>
    <w:p>
      <w:pPr>
        <w:pStyle w:val="BodyText"/>
      </w:pPr>
      <w:r>
        <w:rPr>
          <w:bCs/>
          <w:b/>
        </w:rPr>
        <w:t xml:space="preserve">Housing Allowance:</w:t>
      </w:r>
    </w:p>
    <w:p>
      <w:pPr>
        <w:pStyle w:val="BodyText"/>
      </w:pPr>
      <w:r>
        <w:t xml:space="preserve">Research Grants: :div:&gt;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France Paris</dc:title>
  <dc:creator/>
  <dc:language>en</dc:language>
  <cp:keywords/>
  <dcterms:created xsi:type="dcterms:W3CDTF">2026-07-29T13:01:14Z</dcterms:created>
  <dcterms:modified xsi:type="dcterms:W3CDTF">2026-07-29T13:01:14Z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