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Germany</w:t>
      </w:r>
      <w:r>
        <w:t xml:space="preserve"> </w:t>
      </w:r>
      <w:r>
        <w:t xml:space="preserve">Frankfurt</w:t>
      </w:r>
    </w:p>
    <w:p>
      <w:pPr>
        <w:pStyle w:val="FirstParagraph"/>
      </w:pPr>
      <w:r>
        <w:rPr>
          <w:u w:val="single"/>
        </w:rPr>
        <w:t xml:space="preserve">The European Hub for Academic Excellence:</w:t>
      </w:r>
      <w:r>
        <w:br/>
      </w:r>
      <w:r>
        <w:t xml:space="preserve">A Project Report on the University Lecturer Role in Germany Frankfurt</w:t>
      </w:r>
    </w:p>
    <w:p>
      <w:pPr>
        <w:pStyle w:val="BodyText"/>
      </w:pPr>
      <w:r>
        <w:rPr>
          <w:iCs/>
          <w:i/>
        </w:rPr>
        <w:t xml:space="preserve">Date:</w:t>
      </w:r>
      <w:r>
        <w:t xml:space="preserve"> </w:t>
      </w:r>
      <w:r>
        <w:t xml:space="preserve">October 26, 2023</w:t>
      </w:r>
      <w:r>
        <w:br/>
      </w:r>
      <w:r>
        <w:rPr>
          <w:iCs/>
          <w:i/>
        </w:rPr>
        <w:t xml:space="preserve">To:</w:t>
      </w:r>
      <w:r>
        <w:t xml:space="preserve"> </w:t>
      </w:r>
      <w:r>
        <w:t xml:space="preserve">Academic Strategic Planning Committee</w:t>
      </w:r>
      <w:r>
        <w:br/>
      </w:r>
      <w:r>
        <w:rPr>
          <w:iCs/>
          <w:i/>
        </w:rPr>
        <w:t xml:space="preserve">From:</w:t>
      </w:r>
      <w:r>
        <w:t xml:space="preserve"> </w:t>
      </w:r>
      <w:r>
        <w:t xml:space="preserve">Department of International Recruitment and Institutional Development</w:t>
      </w:r>
      <w:r>
        <w:br/>
      </w:r>
    </w:p>
    <w:p>
      <w:pPr>
        <w:pStyle w:val="BodyText"/>
      </w:pPr>
      <w:r>
        <w:rPr>
          <w:u w:val="single"/>
        </w:rPr>
        <w:t xml:space="preserve">I. Executive Summary</w:t>
      </w:r>
    </w:p>
    <w:p>
      <w:pPr>
        <w:pStyle w:val="BodyText"/>
      </w:pPr>
      <w:r>
        <w:t xml:space="preserve">This</w:t>
      </w:r>
      <w:r>
        <w:t xml:space="preserve"> </w:t>
      </w:r>
      <w:r>
        <w:rPr>
          <w:u w:val="single"/>
          <w:bCs/>
          <w:b/>
        </w:rPr>
        <w:t xml:space="preserve">Project Report</w:t>
      </w:r>
      <w:r>
        <w:t xml:space="preserve"> </w:t>
      </w:r>
      <w:r>
        <w:t xml:space="preserve">delineates the strategic framework, operational requirements, and cultural integration pathways for recruiting and retaining high-caliber University Lecturers within the dynamic academic ecosystem of</w:t>
      </w:r>
      <w:r>
        <w:t xml:space="preserve"> </w:t>
      </w:r>
      <w:r>
        <w:rPr>
          <w:bCs/>
          <w:b/>
        </w:rPr>
        <w:t xml:space="preserve">Germany Frankfurt</w:t>
      </w:r>
      <w:r>
        <w:t xml:space="preserve">. As Frankfurt am Main solidifies its status not only as Germany’s financial capital but also as a burgeoning center for international research and higher education, the demand for specialized academic talent has reached unprecedented levels. The primary objective of this initiative is to streamline the recruitment process for</w:t>
      </w:r>
      <w:r>
        <w:t xml:space="preserve"> </w:t>
      </w:r>
      <w:r>
        <w:rPr>
          <w:u w:val="single"/>
          <w:bCs/>
          <w:b/>
        </w:rPr>
        <w:t xml:space="preserve">University Lecturers</w:t>
      </w:r>
      <w:r>
        <w:t xml:space="preserve">, ensuring that new hires possess not only rigorous scholarly credentials but also the pedagogical agility required to teach a diverse, multinational student body.</w:t>
      </w:r>
    </w:p>
    <w:p>
      <w:pPr>
        <w:pStyle w:val="BodyText"/>
      </w:pPr>
      <w:r>
        <w:t xml:space="preserve">The report argues that success in</w:t>
      </w:r>
      <w:r>
        <w:t xml:space="preserve"> </w:t>
      </w:r>
      <w:r>
        <w:rPr>
          <w:bCs/>
          <w:b/>
        </w:rPr>
        <w:t xml:space="preserve">Germany Frankfurt</w:t>
      </w:r>
      <w:r>
        <w:t xml:space="preserve"> </w:t>
      </w:r>
      <w:r>
        <w:t xml:space="preserve">requires more than just academic publication records; it necessitates a holistic approach that addresses visa logistics, cultural adaptation to the German academic tradition, and integration into local research networks. By analyzing the current market landscape of</w:t>
      </w:r>
      <w:r>
        <w:t xml:space="preserve"> </w:t>
      </w:r>
      <w:r>
        <w:rPr>
          <w:u w:val="single"/>
          <w:bCs/>
          <w:b/>
        </w:rPr>
        <w:t xml:space="preserve">University Lecturer</w:t>
      </w:r>
      <w:r>
        <w:t xml:space="preserve"> </w:t>
      </w:r>
      <w:r>
        <w:t xml:space="preserve">positions in this specific region, we can construct a robust model for sustainable academic growth.</w:t>
      </w:r>
    </w:p>
    <w:p>
      <w:pPr>
        <w:pStyle w:val="BodyText"/>
      </w:pPr>
      <w:r>
        <w:rPr>
          <w:u w:val="single"/>
        </w:rPr>
        <w:t xml:space="preserve">II. Contextual Background: The Academic Landscape of Germany Frankfurt</w:t>
      </w:r>
    </w:p>
    <w:p>
      <w:pPr>
        <w:pStyle w:val="BodyText"/>
      </w:pPr>
      <w:r>
        <w:t xml:space="preserve">To understand the significance of the</w:t>
      </w:r>
      <w:r>
        <w:t xml:space="preserve"> </w:t>
      </w:r>
      <w:r>
        <w:rPr>
          <w:u w:val="single"/>
          <w:bCs/>
          <w:b/>
        </w:rPr>
        <w:t xml:space="preserve">University Lecturer</w:t>
      </w:r>
      <w:r>
        <w:t xml:space="preserve"> </w:t>
      </w:r>
      <w:r>
        <w:t xml:space="preserve">role, one must first appreciate the unique environment of</w:t>
      </w:r>
    </w:p>
    <w:p>
      <w:pPr>
        <w:pStyle w:val="BodyText"/>
      </w:pPr>
      <w:r>
        <w:t xml:space="preserve">Germany Frankfurt</w:t>
      </w:r>
      <w:r>
        <w:t xml:space="preserve">.</w:t>
      </w:r>
    </w:p>
    <w:p>
      <w:pPr>
        <w:pStyle w:val="BodyText"/>
      </w:pPr>
      <w:r>
        <w:rPr>
          <w:bCs/>
          <w:b/>
        </w:rPr>
        <w:t xml:space="preserve">Johann Wolfgang Goethe University:</w:t>
      </w:r>
      <w:r>
        <w:t xml:space="preserve"> </w:t>
      </w:r>
      <w:r>
        <w:t xml:space="preserve">As the largest university in Hesse, it offers a broad spectrum of disciplines from humanities to natural sciences. Lecturers here are expected to contribute significantly to interdisciplinary research.</w:t>
      </w:r>
    </w:p>
    <w:p>
      <w:pPr>
        <w:pStyle w:val="BodyText"/>
      </w:pPr>
      <w:r>
        <w:rPr>
          <w:bCs/>
          <w:b/>
        </w:rPr>
        <w:t xml:space="preserve">Frankfurt School of Finance &amp; Management:</w:t>
      </w:r>
      <w:r>
        <w:t xml:space="preserve"> </w:t>
      </w:r>
      <w:r>
        <w:t xml:space="preserve">Specializing in finance and business, this institution demands lecturers with strong industry connections and practical experience alongside academic rigor.</w:t>
      </w:r>
    </w:p>
    <w:p>
      <w:pPr>
        <w:pStyle w:val="BodyText"/>
      </w:pPr>
      <w:r>
        <w:t xml:space="preserve">The city itself, often referred to as "Mainhattan" due to its skyline, provides a cosmopolitan backdrop. For</w:t>
      </w:r>
      <w:r>
        <w:t xml:space="preserve"> </w:t>
      </w:r>
      <w:r>
        <w:rPr>
          <w:u w:val="single"/>
          <w:bCs/>
          <w:b/>
        </w:rPr>
        <w:t xml:space="preserve">University Lecturer</w:t>
      </w:r>
      <w:r>
        <w:t xml:space="preserve">s moving from abroad or other regions of Germany, Frankfurt offers high living standards but also comes with competitive housing markets and a fast-paced professional culture. The academic environment in</w:t>
      </w:r>
    </w:p>
    <w:p>
      <w:pPr>
        <w:pStyle w:val="BodyText"/>
      </w:pPr>
      <w:r>
        <w:t xml:space="preserve">Germany Frankfurt</w:t>
      </w:r>
      <w:r>
        <w:t xml:space="preserve"> </w:t>
      </w:r>
      <w:r>
        <w:t xml:space="preserve">is characterized by a strong emphasis on theoretical depth combined with practical application, particularly in law, economics, and social sciences.</w:t>
      </w:r>
    </w:p>
    <w:p>
      <w:pPr>
        <w:pStyle w:val="BodyText"/>
      </w:pPr>
      <w:r>
        <w:rPr>
          <w:u w:val="single"/>
        </w:rPr>
        <w:t xml:space="preserve">III. Core Competencies and Qualifications for the University Lecturer Role</w:t>
      </w:r>
    </w:p>
    <w:p>
      <w:pPr>
        <w:pStyle w:val="BodyText"/>
      </w:pPr>
      <w:r>
        <w:t xml:space="preserve">In this</w:t>
      </w:r>
    </w:p>
    <w:p>
      <w:pPr>
        <w:pStyle w:val="BodyText"/>
      </w:pPr>
      <w:r>
        <w:t xml:space="preserve">Project Report</w:t>
      </w:r>
      <w:r>
        <w:t xml:space="preserve">, we define the essential criteria for candidates applying to</w:t>
      </w:r>
    </w:p>
    <w:p>
      <w:pPr>
        <w:pStyle w:val="BodyText"/>
      </w:pPr>
      <w:r>
        <w:rPr>
          <w:u w:val="single"/>
        </w:rPr>
        <w:t xml:space="preserve">University Lecturer</w:t>
      </w:r>
      <w:r>
        <w:t xml:space="preserve"> </w:t>
      </w:r>
      <w:r>
        <w:t xml:space="preserve">positions within our partner institutions in</w:t>
      </w:r>
    </w:p>
    <w:p>
      <w:pPr>
        <w:pStyle w:val="BodyText"/>
      </w:pPr>
      <w:r>
        <w:t xml:space="preserve">Germany Frankfurt</w:t>
      </w:r>
      <w:r>
        <w:t xml:space="preserve">. The selection process must be rigorous to maintain the prestige of German higher education.</w:t>
      </w:r>
    </w:p>
    <w:bookmarkStart w:id="20" w:name="X24b03b950907859b24c452cf0fae5ee45889484"/>
    <w:p>
      <w:pPr>
        <w:pStyle w:val="Heading3"/>
      </w:pPr>
      <w:r>
        <w:rPr>
          <w:bCs/>
          <w:b/>
        </w:rPr>
        <w:t xml:space="preserve">A. Academic Credentials (The Habilitation Context)</w:t>
      </w:r>
    </w:p>
    <w:p>
      <w:pPr>
        <w:pStyle w:val="FirstParagraph"/>
      </w:pPr>
      <w:r>
        <w:t xml:space="preserve">In Germany, the title of</w:t>
      </w:r>
    </w:p>
    <w:p>
      <w:pPr>
        <w:pStyle w:val="BodyText"/>
      </w:pPr>
      <w:r>
        <w:rPr>
          <w:u w:val="single"/>
        </w:rPr>
        <w:t xml:space="preserve">University Lecturer</w:t>
      </w:r>
      <w:r>
        <w:t xml:space="preserve"> </w:t>
      </w:r>
      <w:r>
        <w:t xml:space="preserve">often implies a path toward tenure-track or permanent professorships. Therefore, candidates are generally expected to hold a Ph.D. and have completed their post-doctoral qualification (Habilitation) or demonstrate equivalent research output. The ability to secure third-party funding (DFG grants) is a critical metric for success in</w:t>
      </w:r>
    </w:p>
    <w:p>
      <w:pPr>
        <w:pStyle w:val="BodyText"/>
      </w:pPr>
      <w:r>
        <w:t xml:space="preserve">Germany Frankfurt</w:t>
      </w:r>
      <w:r>
        <w:t xml:space="preserve">.</w:t>
      </w:r>
    </w:p>
    <w:bookmarkEnd w:id="20"/>
    <w:bookmarkStart w:id="21" w:name="b.-pedagogical-excellence"/>
    <w:p>
      <w:pPr>
        <w:pStyle w:val="Heading3"/>
      </w:pPr>
      <w:r>
        <w:rPr>
          <w:bCs/>
          <w:b/>
        </w:rPr>
        <w:t xml:space="preserve">B. Pedagogical Excellence</w:t>
      </w:r>
    </w:p>
    <w:p>
      <w:pPr>
        <w:pStyle w:val="FirstParagraph"/>
      </w:pPr>
      <w:r>
        <w:t xml:space="preserve">Beyond research, the</w:t>
      </w:r>
    </w:p>
    <w:p>
      <w:pPr>
        <w:pStyle w:val="BodyText"/>
      </w:pPr>
      <w:r>
        <w:rPr>
          <w:u w:val="single"/>
        </w:rPr>
        <w:t xml:space="preserve">University Lecturer</w:t>
      </w:r>
      <w:r>
        <w:t xml:space="preserve"> </w:t>
      </w:r>
      <w:r>
        <w:t xml:space="preserve">must exhibit exceptional teaching skills. Given the international nature of students in</w:t>
      </w:r>
    </w:p>
    <w:p>
      <w:pPr>
        <w:pStyle w:val="BodyText"/>
      </w:pPr>
      <w:r>
        <w:t xml:space="preserve">Germany Frankfurt</w:t>
      </w:r>
      <w:r>
        <w:t xml:space="preserve">, proficiency in English is often required for specific modules, while German language skills remain crucial for broader integration and administrative duties. Teaching evaluations from previous institutions will be weighed heavily.</w:t>
      </w:r>
    </w:p>
    <w:bookmarkEnd w:id="21"/>
    <w:bookmarkStart w:id="22" w:name="Xbe748e6c254a6b5b835cfc72c1a98c3230e74be"/>
    <w:p>
      <w:pPr>
        <w:pStyle w:val="Heading3"/>
      </w:pPr>
      <w:r>
        <w:rPr>
          <w:bCs/>
          <w:b/>
        </w:rPr>
        <w:t xml:space="preserve">C. Research Agility and Interdisciplinary Potential</w:t>
      </w:r>
    </w:p>
    <w:p>
      <w:pPr>
        <w:pStyle w:val="FirstParagraph"/>
      </w:pPr>
      <w:r>
        <w:t xml:space="preserve">The modern academic landscape demands collaboration across fields. Candidates who can bridge gaps between traditional disciplines—such as combining legal studies with data science or economics with environmental sustainability—are highly sought after in the</w:t>
      </w:r>
    </w:p>
    <w:p>
      <w:pPr>
        <w:pStyle w:val="BodyText"/>
      </w:pPr>
      <w:r>
        <w:t xml:space="preserve">Germany Frankfurt</w:t>
      </w:r>
      <w:r>
        <w:t xml:space="preserve"> </w:t>
      </w:r>
      <w:r>
        <w:t xml:space="preserve">market.</w:t>
      </w:r>
    </w:p>
    <w:p>
      <w:pPr>
        <w:pStyle w:val="BodyText"/>
      </w:pPr>
      <w:r>
        <w:rPr>
          <w:u w:val="single"/>
        </w:rPr>
        <w:t xml:space="preserve">IV. Challenges in Recruitment and Integration</w:t>
      </w:r>
    </w:p>
    <w:p>
      <w:pPr>
        <w:pStyle w:val="BodyText"/>
      </w:pPr>
      <w:r>
        <w:t xml:space="preserve">This section of the</w:t>
      </w:r>
    </w:p>
    <w:p>
      <w:pPr>
        <w:pStyle w:val="BodyText"/>
      </w:pPr>
      <w:r>
        <w:rPr>
          <w:u w:val="single"/>
        </w:rPr>
        <w:t xml:space="preserve">Project Report</w:t>
      </w:r>
      <w:r>
        <w:t xml:space="preserve"> </w:t>
      </w:r>
      <w:r>
        <w:t xml:space="preserve">addresses the hurdles faced when onboarding</w:t>
      </w:r>
    </w:p>
    <w:p>
      <w:pPr>
        <w:pStyle w:val="BodyText"/>
      </w:pPr>
      <w:r>
        <w:rPr>
          <w:u w:val="single"/>
        </w:rPr>
        <w:t xml:space="preserve">University Lecturers</w:t>
      </w:r>
      <w:r>
        <w:t xml:space="preserve">. These challenges are specific to the geographic and bureaucratic context of</w:t>
      </w:r>
    </w:p>
    <w:p>
      <w:pPr>
        <w:pStyle w:val="BodyText"/>
      </w:pPr>
      <w:r>
        <w:t xml:space="preserve">Germany Frankfurt</w:t>
      </w:r>
      <w:r>
        <w:t xml:space="preserve">.</w:t>
      </w:r>
    </w:p>
    <w:bookmarkEnd w:id="22"/>
    <w:bookmarkStart w:id="23" w:name="X3e1fcef6cda468cf132a6eb5185a87b8156b247"/>
    <w:p>
      <w:pPr>
        <w:pStyle w:val="Heading3"/>
      </w:pPr>
      <w:r>
        <w:rPr>
          <w:bCs/>
          <w:b/>
        </w:rPr>
        <w:t xml:space="preserve">A. Bureaucratic Hurdles and Visa Processes</w:t>
      </w:r>
    </w:p>
    <w:p>
      <w:pPr>
        <w:pStyle w:val="FirstParagraph"/>
      </w:pPr>
      <w:r>
        <w:t xml:space="preserve">Navigating the German residency law can be complex for non-EU citizens. The</w:t>
      </w:r>
    </w:p>
    <w:p>
      <w:pPr>
        <w:pStyle w:val="BodyText"/>
      </w:pPr>
      <w:r>
        <w:rPr>
          <w:u w:val="single"/>
        </w:rPr>
        <w:t xml:space="preserve">University Lecturer</w:t>
      </w:r>
      <w:r>
        <w:t xml:space="preserve"> </w:t>
      </w:r>
      <w:r>
        <w:t xml:space="preserve">must secure a Blue Card EU or a residence permit for scientific purposes. Delays in this process can deter top talent. Our proposed solution involves dedicated HR support to manage documentation, ensuring that the</w:t>
      </w:r>
    </w:p>
    <w:p>
      <w:pPr>
        <w:pStyle w:val="BodyText"/>
      </w:pPr>
      <w:r>
        <w:t xml:space="preserve">Germany Frankfurt</w:t>
      </w:r>
      <w:r>
        <w:t xml:space="preserve"> </w:t>
      </w:r>
      <w:r>
        <w:t xml:space="preserve">institution acts as a sponsor and guide through the bureaucracy.</w:t>
      </w:r>
    </w:p>
    <w:bookmarkEnd w:id="23"/>
    <w:bookmarkStart w:id="24" w:name="b.-cultural-adaptation"/>
    <w:p>
      <w:pPr>
        <w:pStyle w:val="Heading3"/>
      </w:pPr>
      <w:r>
        <w:rPr>
          <w:bCs/>
          <w:b/>
        </w:rPr>
        <w:t xml:space="preserve">B. Cultural Adaptation</w:t>
      </w:r>
    </w:p>
    <w:p>
      <w:pPr>
        <w:pStyle w:val="FirstParagraph"/>
      </w:pPr>
      <w:r>
        <w:t xml:space="preserve">The German academic culture is formal and structured.</w:t>
      </w:r>
    </w:p>
    <w:p>
      <w:pPr>
        <w:pStyle w:val="BodyText"/>
      </w:pPr>
      <w:r>
        <w:rPr>
          <w:u w:val="single"/>
        </w:rPr>
        <w:t xml:space="preserve">University Lecturer</w:t>
      </w:r>
      <w:r>
        <w:t xml:space="preserve">s from more informal academic backgrounds may experience culture shock. Integration programs in</w:t>
      </w:r>
    </w:p>
    <w:p>
      <w:pPr>
        <w:pStyle w:val="BodyText"/>
      </w:pPr>
      <w:r>
        <w:t xml:space="preserve">Germany Frankfurt</w:t>
      </w:r>
      <w:r>
        <w:t xml:space="preserve"> </w:t>
      </w:r>
      <w:r>
        <w:t xml:space="preserve">should include workshops on local customs, the specific expectations of the German classroom hierarchy, and community building activities.</w:t>
      </w:r>
    </w:p>
    <w:bookmarkEnd w:id="24"/>
    <w:bookmarkStart w:id="25" w:name="c.-cost-of-living-and-housing"/>
    <w:p>
      <w:pPr>
        <w:pStyle w:val="Heading3"/>
      </w:pPr>
      <w:r>
        <w:rPr>
          <w:bCs/>
          <w:b/>
        </w:rPr>
        <w:t xml:space="preserve">C. Cost of Living and Housing</w:t>
      </w:r>
    </w:p>
    <w:p>
      <w:pPr>
        <w:pStyle w:val="FirstParagraph"/>
      </w:pPr>
      <w:r>
        <w:t xml:space="preserve">Frankfurt is one of the most expensive cities in Germany.</w:t>
      </w:r>
    </w:p>
    <w:p>
      <w:pPr>
        <w:pStyle w:val="BodyText"/>
      </w:pPr>
      <w:r>
        <w:rPr>
          <w:u w:val="single"/>
        </w:rPr>
        <w:t xml:space="preserve">University Lecturer</w:t>
      </w:r>
      <w:r>
        <w:t xml:space="preserve">s starting their careers may find salaries challenging against rent prices in</w:t>
      </w:r>
    </w:p>
    <w:p>
      <w:pPr>
        <w:pStyle w:val="BodyText"/>
      </w:pPr>
      <w:r>
        <w:t xml:space="preserve">Germany Frankfurt</w:t>
      </w:r>
      <w:r>
        <w:t xml:space="preserve">. The project proposal includes negotiating housing allowances or partnering with university housing associations to mitigate this financial pressure.</w:t>
      </w:r>
    </w:p>
    <w:p>
      <w:pPr>
        <w:pStyle w:val="BodyText"/>
      </w:pPr>
      <w:r>
        <w:rPr>
          <w:u w:val="single"/>
        </w:rPr>
        <w:t xml:space="preserve">V. Strategic Recommendations</w:t>
      </w:r>
    </w:p>
    <w:p>
      <w:pPr>
        <w:pStyle w:val="BodyText"/>
      </w:pPr>
      <w:r>
        <w:t xml:space="preserve">Based on the analysis presented in this</w:t>
      </w:r>
    </w:p>
    <w:p>
      <w:pPr>
        <w:pStyle w:val="BodyText"/>
      </w:pPr>
      <w:r>
        <w:rPr>
          <w:u w:val="single"/>
        </w:rPr>
        <w:t xml:space="preserve">Project Report</w:t>
      </w:r>
      <w:r>
        <w:t xml:space="preserve">, we recommend the following actions for institutions hiring</w:t>
      </w:r>
    </w:p>
    <w:p>
      <w:pPr>
        <w:pStyle w:val="BodyText"/>
      </w:pPr>
      <w:r>
        <w:rPr>
          <w:u w:val="single"/>
        </w:rPr>
        <w:t xml:space="preserve">University Lecturer</w:t>
      </w:r>
      <w:r>
        <w:t xml:space="preserve">s in</w:t>
      </w:r>
    </w:p>
    <w:p>
      <w:pPr>
        <w:pStyle w:val="BodyText"/>
      </w:pPr>
      <w:r>
        <w:t xml:space="preserve">Germany Frankfurt</w:t>
      </w:r>
      <w:r>
        <w:t xml:space="preserve">:</w:t>
      </w:r>
    </w:p>
    <w:p>
      <w:pPr>
        <w:numPr>
          <w:ilvl w:val="0"/>
          <w:numId w:val="1001"/>
        </w:numPr>
        <w:pStyle w:val="Compact"/>
      </w:pPr>
      <w:r>
        <w:rPr>
          <w:bCs/>
          <w:b/>
        </w:rPr>
        <w:t xml:space="preserve">Create a "Welcome Desk" for Academics:</w:t>
      </w:r>
      <w:r>
        <w:t xml:space="preserve"> </w:t>
      </w:r>
      <w:r>
        <w:t xml:space="preserve">A centralized support unit to assist with visa, housing, and school enrollment for families of</w:t>
      </w:r>
    </w:p>
    <w:p>
      <w:pPr>
        <w:numPr>
          <w:ilvl w:val="0"/>
          <w:numId w:val="1000"/>
        </w:numPr>
        <w:pStyle w:val="Compact"/>
      </w:pPr>
      <w:r>
        <w:rPr>
          <w:u w:val="single"/>
        </w:rPr>
        <w:t xml:space="preserve">University Lecturer</w:t>
      </w:r>
      <w:r>
        <w:t xml:space="preserve">s in</w:t>
      </w:r>
    </w:p>
    <w:p>
      <w:pPr>
        <w:numPr>
          <w:ilvl w:val="0"/>
          <w:numId w:val="1000"/>
        </w:numPr>
        <w:pStyle w:val="Compact"/>
      </w:pPr>
      <w:r>
        <w:t xml:space="preserve">Germany Frankfurt</w:t>
      </w:r>
      <w:r>
        <w:t xml:space="preserve">.</w:t>
      </w:r>
    </w:p>
    <w:p>
      <w:pPr>
        <w:numPr>
          <w:ilvl w:val="0"/>
          <w:numId w:val="1001"/>
        </w:numPr>
        <w:pStyle w:val="Compact"/>
      </w:pPr>
      <w:r>
        <w:rPr>
          <w:bCs/>
          <w:b/>
        </w:rPr>
        <w:t xml:space="preserve">Promote International Networks:</w:t>
      </w:r>
      <w:r>
        <w:t xml:space="preserve"> </w:t>
      </w:r>
      <w:r>
        <w:t xml:space="preserve">Actively market the university’s participation in EU research frameworks (like Horizon Europe) to attract globally minded scholars.</w:t>
      </w:r>
    </w:p>
    <w:p>
      <w:pPr>
        <w:numPr>
          <w:ilvl w:val="0"/>
          <w:numId w:val="1001"/>
        </w:numPr>
        <w:pStyle w:val="Compact"/>
      </w:pPr>
      <w:r>
        <w:rPr>
          <w:bCs/>
          <w:b/>
        </w:rPr>
        <w:t xml:space="preserve">Mentorship Programs:</w:t>
      </w:r>
      <w:r>
        <w:t xml:space="preserve"> </w:t>
      </w:r>
      <w:r>
        <w:t xml:space="preserve">Pair new</w:t>
      </w:r>
    </w:p>
    <w:p>
      <w:pPr>
        <w:numPr>
          <w:ilvl w:val="0"/>
          <w:numId w:val="1000"/>
        </w:numPr>
        <w:pStyle w:val="Compact"/>
      </w:pPr>
      <w:r>
        <w:rPr>
          <w:u w:val="single"/>
        </w:rPr>
        <w:t xml:space="preserve">University Lecturer</w:t>
      </w:r>
      <w:r>
        <w:t xml:space="preserve">s with senior faculty members who have successfully integrated into the local academic community.</w:t>
      </w:r>
    </w:p>
    <w:p>
      <w:pPr>
        <w:numPr>
          <w:ilvl w:val="0"/>
          <w:numId w:val="1001"/>
        </w:numPr>
        <w:pStyle w:val="Compact"/>
      </w:pPr>
      <w:r>
        <w:rPr>
          <w:bCs/>
          <w:b/>
        </w:rPr>
        <w:t xml:space="preserve">Linguistic Support:</w:t>
      </w:r>
      <w:r>
        <w:t xml:space="preserve"> </w:t>
      </w:r>
      <w:r>
        <w:t xml:space="preserve">Offer subsidized German language courses tailored to academic terminology, facilitating deeper integration into the</w:t>
      </w:r>
    </w:p>
    <w:p>
      <w:pPr>
        <w:numPr>
          <w:ilvl w:val="0"/>
          <w:numId w:val="1000"/>
        </w:numPr>
        <w:pStyle w:val="Compact"/>
      </w:pPr>
      <w:r>
        <w:t xml:space="preserve">Germany Frankfurt</w:t>
      </w:r>
      <w:r>
        <w:t xml:space="preserve"> </w:t>
      </w:r>
      <w:r>
        <w:t xml:space="preserve">scholarly community.</w:t>
      </w:r>
    </w:p>
    <w:p>
      <w:pPr>
        <w:pStyle w:val="FirstParagraph"/>
      </w:pPr>
      <w:r>
        <w:rPr>
          <w:u w:val="single"/>
        </w:rPr>
        <w:t xml:space="preserve">VI. Conclusion</w:t>
      </w:r>
    </w:p>
    <w:p>
      <w:pPr>
        <w:pStyle w:val="BodyText"/>
      </w:pPr>
      <w:r>
        <w:t xml:space="preserve">The recruitment of</w:t>
      </w:r>
    </w:p>
    <w:p>
      <w:pPr>
        <w:pStyle w:val="BodyText"/>
      </w:pPr>
      <w:r>
        <w:rPr>
          <w:u w:val="single"/>
        </w:rPr>
        <w:t xml:space="preserve">University Lecturers</w:t>
      </w:r>
      <w:r>
        <w:t xml:space="preserve">s is a cornerstone of academic excellence. In the vibrant and competitive landscape of</w:t>
      </w:r>
    </w:p>
    <w:p>
      <w:pPr>
        <w:pStyle w:val="BodyText"/>
      </w:pPr>
      <w:r>
        <w:t xml:space="preserve">Germany Frankfurt</w:t>
      </w:r>
      <w:r>
        <w:t xml:space="preserve">, institutions must adopt proactive, supportive, and strategically informed hiring practices. This</w:t>
      </w:r>
    </w:p>
    <w:p>
      <w:pPr>
        <w:pStyle w:val="BodyText"/>
      </w:pPr>
      <w:r>
        <w:rPr>
          <w:u w:val="single"/>
        </w:rPr>
        <w:t xml:space="preserve">Project Report</w:t>
      </w:r>
      <w:r>
        <w:t xml:space="preserve"> </w:t>
      </w:r>
      <w:r>
        <w:t xml:space="preserve">has highlighted that while the challenges regarding bureaucracy and cultural adaptation are significant, they are surmountable with adequate institutional support.</w:t>
      </w:r>
    </w:p>
    <w:p>
      <w:pPr>
        <w:pStyle w:val="BodyText"/>
      </w:pPr>
      <w:r>
        <w:t xml:space="preserve">By positioning</w:t>
      </w:r>
    </w:p>
    <w:p>
      <w:pPr>
        <w:pStyle w:val="BodyText"/>
      </w:pPr>
      <w:r>
        <w:t xml:space="preserve">Germany Frankfurt</w:t>
      </w:r>
      <w:r>
        <w:t xml:space="preserve"> </w:t>
      </w:r>
      <w:r>
        <w:t xml:space="preserve">as an accessible and welcoming hub for international talent, universities can attract the best</w:t>
      </w:r>
    </w:p>
    <w:p>
      <w:pPr>
        <w:pStyle w:val="BodyText"/>
      </w:pPr>
      <w:r>
        <w:rPr>
          <w:u w:val="single"/>
        </w:rPr>
        <w:t xml:space="preserve">University Lecturer</w:t>
      </w:r>
      <w:r>
        <w:t xml:space="preserve">s globally. This will not only enhance teaching quality and research output but also reinforce the city’s reputation as a leading intellectual center in Europe. The time to act is now; by refining our processes, we ensure that our academic community remains diverse, dynamic, and world-class.</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foundational template for further discussion within the planning committee. All specific salary figures and contractual details are subject to collective bargaining agreements (Tarifvertrag) applicable to higher education institutions in Hesse.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University Lecturers in Germany Frankfurt</dc:title>
  <dc:creator/>
  <dc:language>en</dc:language>
  <cp:keywords/>
  <dcterms:created xsi:type="dcterms:W3CDTF">2026-07-30T06:44:19Z</dcterms:created>
  <dcterms:modified xsi:type="dcterms:W3CDTF">2026-07-30T06:44:19Z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