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University</w:t>
      </w:r>
      <w:r>
        <w:t xml:space="preserve"> </w:t>
      </w:r>
      <w:r>
        <w:t xml:space="preserve">Lecturers</w:t>
      </w:r>
      <w:r>
        <w:t xml:space="preserve"> </w:t>
      </w:r>
      <w:r>
        <w:t xml:space="preserve">in</w:t>
      </w:r>
      <w:r>
        <w:t xml:space="preserve"> </w:t>
      </w:r>
      <w:r>
        <w:t xml:space="preserve">Israel</w:t>
      </w:r>
      <w:r>
        <w:t xml:space="preserve"> </w:t>
      </w:r>
      <w:r>
        <w:t xml:space="preserve">Tel</w:t>
      </w:r>
      <w:r>
        <w:t xml:space="preserve"> </w:t>
      </w:r>
      <w:r>
        <w:t xml:space="preserve">Aviv</w:t>
      </w:r>
    </w:p>
    <w:bookmarkStart w:id="34" w:name="Xaea5d1f69ec3506c1d7bc3ba5a8ffa4ec58e0c7"/>
    <w:p>
      <w:pPr>
        <w:pStyle w:val="Heading1"/>
      </w:pPr>
      <w:r>
        <w:t xml:space="preserve">Project Report: Strategic Integration and Operational Framework for University Lecturers in Israel Tel Aviv</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Higher Education Policy, Ministry of Science and Technology</w:t>
      </w:r>
      <w:r>
        <w:br/>
      </w:r>
    </w:p>
    <w:p>
      <w:pPr>
        <w:pStyle w:val="BodyText"/>
      </w:pPr>
      <w:r>
        <w:t xml:space="preserve">From:</w:t>
      </w:r>
    </w:p>
    <w:p>
      <w:pPr>
        <w:pStyle w:val="BodyText"/>
      </w:pPr>
      <w:r>
        <w:t xml:space="preserve">Strategic Planning Committee</w:t>
      </w:r>
      <w:r>
        <w:br/>
      </w:r>
      <w:r>
        <w:rPr>
          <w:bCs/>
          <w:b/>
        </w:rPr>
        <w:t xml:space="preserve">Subject:</w:t>
      </w:r>
      <w:r>
        <w:t xml:space="preserve"> </w:t>
      </w:r>
      <w:r>
        <w:t xml:space="preserve">Enhancing the Role and Impact of University Lecturers within the Tel Aviv Academic Ecosystem</w:t>
      </w:r>
    </w:p>
    <w:bookmarkStart w:id="20" w:name="executive-summary"/>
    <w:p>
      <w:pPr>
        <w:pStyle w:val="Heading2"/>
      </w:pPr>
      <w:r>
        <w:t xml:space="preserve">1. Executive Summary</w:t>
      </w:r>
    </w:p>
    <w:p>
      <w:pPr>
        <w:pStyle w:val="FirstParagraph"/>
      </w:pPr>
      <w:r>
        <w:t xml:space="preserve">This Project Report outlines a comprehensive strategy designed to elevate the professional standing, operational efficiency, and academic impact of University Lecturers operating within the dynamic higher education landscape of Israel Tel Aviv. As Tel Aviv solidifies its position as a global hub for innovation, technology, and biotechnology, the role of the University Lecturer has evolved from traditional pedagogy to becoming a critical bridge between academic theory and rapid industrial application. This document details the challenges faced by educators in this region, proposes structural improvements to their working conditions, and emphasizes the necessity of aligning curricula with Israel’s unique economic drivers.</w:t>
      </w:r>
    </w:p>
    <w:bookmarkEnd w:id="20"/>
    <w:bookmarkStart w:id="21" w:name="introduction"/>
    <w:p>
      <w:pPr>
        <w:pStyle w:val="Heading2"/>
      </w:pPr>
      <w:r>
        <w:t xml:space="preserve">2. Introduction</w:t>
      </w:r>
    </w:p>
    <w:p>
      <w:pPr>
        <w:pStyle w:val="FirstParagraph"/>
      </w:pPr>
      <w:r>
        <w:t xml:space="preserve">Tel Aviv stands as a beacon of modernity and intellectual rigor in the Middle East. The city is home to prestigious institutions such as Tel Aviv University (TAU), Tel Aviv University-affiliated colleges, and emerging specialized institutes focusing on cybersecurity, fintech, and medical research. However, the ecosystem supporting these institutions requires robust reinforcement regarding human capital management. Specifically, the</w:t>
      </w:r>
      <w:r>
        <w:t xml:space="preserve"> </w:t>
      </w:r>
      <w:r>
        <w:rPr>
          <w:bCs/>
          <w:b/>
        </w:rPr>
        <w:t xml:space="preserve">University Lecturer</w:t>
      </w:r>
      <w:r>
        <w:t xml:space="preserve"> </w:t>
      </w:r>
      <w:r>
        <w:t xml:space="preserve">serves as the primary conduit for knowledge transfer. In</w:t>
      </w:r>
      <w:r>
        <w:t xml:space="preserve"> </w:t>
      </w:r>
      <w:r>
        <w:rPr>
          <w:bCs/>
          <w:b/>
        </w:rPr>
        <w:t xml:space="preserve">Israel Tel Aviv</w:t>
      </w:r>
      <w:r>
        <w:t xml:space="preserve">, where speed to market and technological agility are paramount, lecturers must be equipped with resources that allow them to innovate both in the classroom and in their research endeavors.</w:t>
      </w:r>
    </w:p>
    <w:p>
      <w:pPr>
        <w:pStyle w:val="BodyText"/>
      </w:pPr>
      <w:r>
        <w:t xml:space="preserve">This report aims to analyze current operational bottlenecks affecting lecturers and propose a framework that supports their dual mandate of teaching excellence and applied research. By focusing on the specific context of</w:t>
      </w:r>
      <w:r>
        <w:t xml:space="preserve"> </w:t>
      </w:r>
      <w:r>
        <w:rPr>
          <w:bCs/>
          <w:b/>
        </w:rPr>
        <w:t xml:space="preserve">Israel Tel Aviv</w:t>
      </w:r>
      <w:r>
        <w:t xml:space="preserve">, we address local nuances such as the integration of military service backgrounds, the multicultural student body, and the intense pressure from local industry partners.</w:t>
      </w:r>
    </w:p>
    <w:bookmarkEnd w:id="21"/>
    <w:bookmarkStart w:id="25" w:name="current-landscape-and-challenges"/>
    <w:p>
      <w:pPr>
        <w:pStyle w:val="Heading2"/>
      </w:pPr>
      <w:r>
        <w:t xml:space="preserve">3. Current Landscape and Challenges</w:t>
      </w:r>
    </w:p>
    <w:p>
      <w:pPr>
        <w:pStyle w:val="FirstParagraph"/>
      </w:pPr>
      <w:r>
        <w:t xml:space="preserve">The environment for a University Lecturer in Israel Tel Aviv is characterized by high expectations and rapid change. Several key challenges have been identified:</w:t>
      </w:r>
    </w:p>
    <w:bookmarkStart w:id="22" w:name="workload-imbalance"/>
    <w:p>
      <w:pPr>
        <w:pStyle w:val="Heading3"/>
      </w:pPr>
      <w:r>
        <w:t xml:space="preserve">3.1 Workload Imbalance</w:t>
      </w:r>
    </w:p>
    <w:p>
      <w:pPr>
        <w:pStyle w:val="FirstParagraph"/>
      </w:pPr>
      <w:r>
        <w:t xml:space="preserve">Lecturers often face an unsustainable ratio of administrative duties to teaching hours. In the competitive market of Tel Aviv, there is significant pressure to engage with startups and venture capital firms. While this industry engagement is vital for student employability, it frequently detracts from time dedicated to core pedagogical responsibilities and deep academic research.</w:t>
      </w:r>
    </w:p>
    <w:bookmarkEnd w:id="22"/>
    <w:bookmarkStart w:id="23" w:name="curriculum-relevance"/>
    <w:p>
      <w:pPr>
        <w:pStyle w:val="Heading3"/>
      </w:pPr>
      <w:r>
        <w:t xml:space="preserve">3.2 Curriculum Relevance</w:t>
      </w:r>
    </w:p>
    <w:p>
      <w:pPr>
        <w:pStyle w:val="FirstParagraph"/>
      </w:pPr>
      <w:r>
        <w:t xml:space="preserve">The pace of technological advancement in Israel’s tech sector outstrips the traditional semester cycle. University Lecturers struggle to update course materials quickly enough to reflect current industry standards, particularly in fields like artificial intelligence and blockchain technology.</w:t>
      </w:r>
    </w:p>
    <w:bookmarkEnd w:id="23"/>
    <w:bookmarkStart w:id="24" w:name="socio-political-volatility"/>
    <w:p>
      <w:pPr>
        <w:pStyle w:val="Heading3"/>
      </w:pPr>
      <w:r>
        <w:t xml:space="preserve">3.3 Socio-Political Volatility</w:t>
      </w:r>
    </w:p>
    <w:p>
      <w:pPr>
        <w:pStyle w:val="FirstParagraph"/>
      </w:pPr>
      <w:r>
        <w:t xml:space="preserve">The specific geopolitical context of Israel Tel Aviv introduces unique stressors for academic staff. Lecturers must often navigate complex societal divides and provide stable educational environments amidst periods of regional instability, requiring additional psychological and logistical support systems.</w:t>
      </w:r>
    </w:p>
    <w:bookmarkEnd w:id="24"/>
    <w:bookmarkEnd w:id="25"/>
    <w:bookmarkStart w:id="26" w:name="strategic-objectives"/>
    <w:p>
      <w:pPr>
        <w:pStyle w:val="Heading2"/>
      </w:pPr>
      <w:r>
        <w:t xml:space="preserve">4. Strategic Objectives</w:t>
      </w:r>
    </w:p>
    <w:p>
      <w:pPr>
        <w:pStyle w:val="FirstParagraph"/>
      </w:pPr>
      <w:r>
        <w:t xml:space="preserve">To address these challenges, the following strategic objectives have been established for the University Lecturer program in Israel Tel Aviv:</w:t>
      </w:r>
    </w:p>
    <w:p>
      <w:pPr>
        <w:numPr>
          <w:ilvl w:val="0"/>
          <w:numId w:val="1001"/>
        </w:numPr>
        <w:pStyle w:val="Compact"/>
      </w:pPr>
      <w:r>
        <w:rPr>
          <w:bCs/>
          <w:b/>
        </w:rPr>
        <w:t xml:space="preserve">Pedagogical Modernization:</w:t>
      </w:r>
      <w:r>
        <w:t xml:space="preserve"> </w:t>
      </w:r>
      <w:r>
        <w:t xml:space="preserve">Equip lecturers with advanced digital teaching tools and methodologies tailored to adult learners and industry-focused students.</w:t>
      </w:r>
    </w:p>
    <w:p>
      <w:pPr>
        <w:numPr>
          <w:ilvl w:val="0"/>
          <w:numId w:val="1001"/>
        </w:numPr>
        <w:pStyle w:val="Compact"/>
      </w:pPr>
      <w:r>
        <w:rPr>
          <w:bCs/>
          <w:b/>
        </w:rPr>
        <w:t xml:space="preserve">Industry-Academia Synergy:</w:t>
      </w:r>
      <w:r>
        <w:t xml:space="preserve"> </w:t>
      </w:r>
      <w:r>
        <w:t xml:space="preserve">Formalize partnerships between University Lecturers and key players in the Tel Aviv innovation ecosystem (e.g., Tel Aviv-Yafo’s "Startup Nation" centers).</w:t>
      </w:r>
    </w:p>
    <w:p>
      <w:pPr>
        <w:numPr>
          <w:ilvl w:val="0"/>
          <w:numId w:val="1001"/>
        </w:numPr>
        <w:pStyle w:val="Compact"/>
      </w:pPr>
      <w:r>
        <w:rPr>
          <w:bCs/>
          <w:b/>
        </w:rPr>
        <w:t xml:space="preserve">Mental Health and Resilience Support:</w:t>
      </w:r>
      <w:r>
        <w:t xml:space="preserve"> </w:t>
      </w:r>
      <w:r>
        <w:t xml:space="preserve">Implement robust support structures to help lecturers manage the unique socio-political pressures of operating in Israel Tel Aviv.</w:t>
      </w:r>
    </w:p>
    <w:p>
      <w:pPr>
        <w:numPr>
          <w:ilvl w:val="0"/>
          <w:numId w:val="1001"/>
        </w:numPr>
        <w:pStyle w:val="Compact"/>
      </w:pPr>
      <w:r>
        <w:rPr>
          <w:bCs/>
          <w:b/>
        </w:rPr>
        <w:t xml:space="preserve">Diversity and Inclusion:</w:t>
      </w:r>
      <w:r>
        <w:t xml:space="preserve"> </w:t>
      </w:r>
      <w:r>
        <w:t xml:space="preserve">Ensure that the University Lecturer corps reflects the diverse demographic makeup of Tel Aviv, including integrating faculty from various cultural and socioeconomic backgrounds.</w:t>
      </w:r>
    </w:p>
    <w:bookmarkEnd w:id="26"/>
    <w:bookmarkStart w:id="30" w:name="proposed-implementation-framework"/>
    <w:p>
      <w:pPr>
        <w:pStyle w:val="Heading2"/>
      </w:pPr>
      <w:r>
        <w:t xml:space="preserve">5. Proposed Implementation Framework</w:t>
      </w:r>
    </w:p>
    <w:bookmarkStart w:id="27" w:name="the-innovation-bridge-initiative"/>
    <w:p>
      <w:pPr>
        <w:pStyle w:val="Heading3"/>
      </w:pPr>
      <w:r>
        <w:t xml:space="preserve">5.1 The "Innovation Bridge" Initiative</w:t>
      </w:r>
    </w:p>
    <w:p>
      <w:pPr>
        <w:pStyle w:val="FirstParagraph"/>
      </w:pPr>
      <w:r>
        <w:t xml:space="preserve">We propose the creation of an "Innovation Bridge" program specifically for University Lecturers in Israel Tel Aviv. This initiative will offer sabbatical opportunities where lecturers can spend three months embedded within leading tech firms or research centers in the city. This experience ensures that their teaching remains relevant and grounded in real-world applications, benefiting students who are eager to enter the workforce immediately after graduation.</w:t>
      </w:r>
    </w:p>
    <w:bookmarkEnd w:id="27"/>
    <w:bookmarkStart w:id="28" w:name="digital-infrastructure-upgrade"/>
    <w:p>
      <w:pPr>
        <w:pStyle w:val="Heading3"/>
      </w:pPr>
      <w:r>
        <w:t xml:space="preserve">5.2 Digital Infrastructure Upgrade</w:t>
      </w:r>
    </w:p>
    <w:p>
      <w:pPr>
        <w:pStyle w:val="FirstParagraph"/>
      </w:pPr>
      <w:r>
        <w:t xml:space="preserve">A significant portion of the budget will be allocated to upgrading digital infrastructure. Lecturers require high-speed access to global research databases and cloud-based collaborative tools. In Israel Tel Aviv, where remote and hybrid learning models are increasingly adopted, reliable technology is not a luxury but a necessity for maintaining academic continuity.</w:t>
      </w:r>
    </w:p>
    <w:bookmarkEnd w:id="28"/>
    <w:bookmarkStart w:id="29" w:name="community-engagement-protocols"/>
    <w:p>
      <w:pPr>
        <w:pStyle w:val="Heading3"/>
      </w:pPr>
      <w:r>
        <w:t xml:space="preserve">5.3 Community Engagement Protocols</w:t>
      </w:r>
    </w:p>
    <w:p>
      <w:pPr>
        <w:pStyle w:val="FirstParagraph"/>
      </w:pPr>
      <w:r>
        <w:t xml:space="preserve">Lecturers will be trained in community engagement strategies that respect the local context of Israel Tel Aviv. This includes understanding the cultural nuances of teaching students from diverse backgrounds, including recent immigrants (Olim), veteran residents, and international exchange students.</w:t>
      </w:r>
    </w:p>
    <w:bookmarkEnd w:id="29"/>
    <w:bookmarkEnd w:id="30"/>
    <w:bookmarkStart w:id="31" w:name="expected-outcomes-and-impact"/>
    <w:p>
      <w:pPr>
        <w:pStyle w:val="Heading2"/>
      </w:pPr>
      <w:r>
        <w:t xml:space="preserve">6. Expected Outcomes and Impact</w:t>
      </w:r>
    </w:p>
    <w:p>
      <w:pPr>
        <w:pStyle w:val="FirstParagraph"/>
      </w:pPr>
      <w:r>
        <w:t xml:space="preserve">The successful implementation of this project report’s recommendations will yield measurable benefits for the University Lecturer community and the broader society of Israel Tel Aviv:</w:t>
      </w:r>
    </w:p>
    <w:p>
      <w:pPr>
        <w:numPr>
          <w:ilvl w:val="0"/>
          <w:numId w:val="1002"/>
        </w:numPr>
        <w:pStyle w:val="Compact"/>
      </w:pPr>
      <w:r>
        <w:rPr>
          <w:bCs/>
          <w:b/>
        </w:rPr>
        <w:t xml:space="preserve">Enhanced Student Employability:</w:t>
      </w:r>
      <w:r>
        <w:t xml:space="preserve"> </w:t>
      </w:r>
      <w:r>
        <w:t xml:space="preserve">Graduates will possess skills that are immediately applicable to the local job market, reducing the skills gap in Israel’s high-tech sector.</w:t>
      </w:r>
    </w:p>
    <w:p>
      <w:pPr>
        <w:numPr>
          <w:ilvl w:val="0"/>
          <w:numId w:val="1002"/>
        </w:numPr>
        <w:pStyle w:val="Compact"/>
      </w:pPr>
      <w:r>
        <w:rPr>
          <w:bCs/>
          <w:b/>
        </w:rPr>
        <w:t xml:space="preserve">Increased Research Output:</w:t>
      </w:r>
      <w:r>
        <w:t xml:space="preserve"> </w:t>
      </w:r>
      <w:r>
        <w:t xml:space="preserve">By reducing administrative burdens and providing industry immersion, University Lecturers will produce higher-quality research with greater commercial and societal impact.</w:t>
      </w:r>
    </w:p>
    <w:p>
      <w:pPr>
        <w:numPr>
          <w:ilvl w:val="0"/>
          <w:numId w:val="1002"/>
        </w:numPr>
        <w:pStyle w:val="Compact"/>
      </w:pPr>
      <w:r>
        <w:rPr>
          <w:bCs/>
          <w:b/>
        </w:rPr>
        <w:t xml:space="preserve">Social Cohesion:</w:t>
      </w:r>
      <w:r>
        <w:t xml:space="preserve"> </w:t>
      </w:r>
      <w:r>
        <w:t xml:space="preserve">A supported and valued faculty contributes to a more stable educational environment, fostering social cohesion in a complex urban setting like Tel Aviv.</w:t>
      </w:r>
    </w:p>
    <w:bookmarkEnd w:id="31"/>
    <w:bookmarkStart w:id="32" w:name="budgetary-considerations"/>
    <w:p>
      <w:pPr>
        <w:pStyle w:val="Heading2"/>
      </w:pPr>
      <w:r>
        <w:t xml:space="preserve">7. Budgetary Considerations</w:t>
      </w:r>
    </w:p>
    <w:p>
      <w:pPr>
        <w:pStyle w:val="FirstParagraph"/>
      </w:pPr>
      <w:r>
        <w:t xml:space="preserve">Funding for this initiative will be sourced through a combination of government grants from the Ministry of Science and Technology, private sector partnerships with technology firms located in Israel Tel Aviv, and alumni donations. A detailed breakdown indicates that 40% of funds will go toward professional development for lecturers, 30% toward digital infrastructure, and 30% toward student support services linked to lecturer initiatives.</w:t>
      </w:r>
    </w:p>
    <w:bookmarkEnd w:id="32"/>
    <w:bookmarkStart w:id="33" w:name="conclusion"/>
    <w:p>
      <w:pPr>
        <w:pStyle w:val="Heading2"/>
      </w:pPr>
      <w:r>
        <w:t xml:space="preserve">8. Conclusion</w:t>
      </w:r>
    </w:p>
    <w:p>
      <w:pPr>
        <w:pStyle w:val="FirstParagraph"/>
      </w:pPr>
      <w:r>
        <w:t xml:space="preserve">The role of the University Lecturer is pivotal in sustaining Israel Tel Aviv’s status as a global leader in science and innovation. This Project Report serves not merely as an administrative document but as a call to action for policymakers, academic leaders, and industry stakeholders. By investing in the well-being, resources, and professional growth of University Lecturers, we secure the intellectual future of Israel Tel Aviv. We must ensure that those who educate our next generation are themselves empowered by a system that recognizes their immense value. The integration of strategic support mechanisms will transform the University Lecturer from a mere educator into a catalyst for regional development and global competitiveness.</w:t>
      </w:r>
    </w:p>
    <w:p>
      <w:r>
        <w:pict>
          <v:rect style="width:0;height:1.5pt" o:hralign="center" o:hrstd="t" o:hr="t"/>
        </w:pict>
      </w:r>
    </w:p>
    <w:p>
      <w:pPr>
        <w:pStyle w:val="FirstParagraph"/>
      </w:pPr>
      <w:r>
        <w:rPr>
          <w:iCs/>
          <w:i/>
        </w:rPr>
        <w:t xml:space="preserve">This report was prepared in strict accordance with international academic standards and local regulatory frameworks governing higher education in Israel.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and Operational Framework for University Lecturers in Israel Tel Aviv</dc:title>
  <dc:creator/>
  <dc:language>en</dc:language>
  <cp:keywords/>
  <dcterms:created xsi:type="dcterms:W3CDTF">2026-07-29T16:42:24Z</dcterms:created>
  <dcterms:modified xsi:type="dcterms:W3CDTF">2026-07-29T16:42:24Z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