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University</w:t>
      </w:r>
      <w:r>
        <w:t xml:space="preserve"> </w:t>
      </w:r>
      <w:r>
        <w:t xml:space="preserve">Lecturer</w:t>
      </w:r>
      <w:r>
        <w:t xml:space="preserve"> </w:t>
      </w:r>
      <w:r>
        <w:t xml:space="preserve">Recruitment</w:t>
      </w:r>
      <w:r>
        <w:t xml:space="preserve"> </w:t>
      </w:r>
      <w:r>
        <w:t xml:space="preserve">and</w:t>
      </w:r>
      <w:r>
        <w:t xml:space="preserve"> </w:t>
      </w:r>
      <w:r>
        <w:t xml:space="preserve">Integration</w:t>
      </w:r>
      <w:r>
        <w:t xml:space="preserve"> </w:t>
      </w:r>
      <w:r>
        <w:t xml:space="preserve">in</w:t>
      </w:r>
      <w:r>
        <w:t xml:space="preserve"> </w:t>
      </w:r>
      <w:r>
        <w:t xml:space="preserve">Japan,</w:t>
      </w:r>
      <w:r>
        <w:t xml:space="preserve"> </w:t>
      </w:r>
      <w:r>
        <w:t xml:space="preserve">Osaka</w:t>
      </w:r>
    </w:p>
    <w:bookmarkStart w:id="20" w:name="X7ea5bbf887f1cbc8a30d68c527595b00a84f0b1"/>
    <w:p>
      <w:pPr>
        <w:pStyle w:val="Heading1"/>
      </w:pPr>
      <w:r>
        <w:t xml:space="preserve">Project Report:</w:t>
      </w:r>
      <w:r>
        <w:br/>
      </w:r>
      <w:r>
        <w:rPr>
          <w:bCs/>
          <w:b/>
        </w:rPr>
        <w:t xml:space="preserve">The Strategic Implementation of International University Lecturer Programs in Japan, Osaka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International Education Board &amp; Osaka Municipal Cultural Affairs</w:t>
      </w:r>
      <w:r>
        <w:br/>
      </w:r>
      <w:r>
        <w:rPr>
          <w:bCs/>
          <w:b/>
        </w:rPr>
        <w:t xml:space="preserve">From:</w:t>
      </w:r>
      <w:r>
        <w:t xml:space="preserve"> </w:t>
      </w:r>
      <w:r>
        <w:t xml:space="preserve">Project Management Office</w:t>
      </w:r>
      <w:r>
        <w:br/>
      </w:r>
    </w:p>
    <w:p>
      <w:pPr>
        <w:pStyle w:val="BodyText"/>
      </w:pPr>
      <w:r>
        <w:br/>
      </w:r>
    </w:p>
    <w:bookmarkEnd w:id="20"/>
    <w:bookmarkStart w:id="31" w:name="i.-executive-summary"/>
    <w:p>
      <w:pPr>
        <w:pStyle w:val="Heading1"/>
      </w:pPr>
      <w:r>
        <w:rPr>
          <w:iCs/>
          <w:i/>
        </w:rPr>
        <w:t xml:space="preserve">I. Executive Summary</w:t>
      </w:r>
    </w:p>
    <w:p>
      <w:pPr>
        <w:pStyle w:val="FirstParagraph"/>
      </w:pPr>
      <w:r>
        <w:t xml:space="preserve">This Project Report outlines the comprehensive strategy, implementation plan, and expected outcomes for the recruitment and integration of international University Lecturer positions within higher education institutions located in Japan, specifically focusing on the metropolitan hub of Osaka. As global academia increasingly demands diversity in pedagogical approaches and cultural exchange, this initiative aims to address the critical shortage of native English-speaking faculty members while simultaneously fostering a bilingual academic environment.</w:t>
      </w:r>
    </w:p>
    <w:p>
      <w:pPr>
        <w:pStyle w:val="BodyText"/>
      </w:pPr>
      <w:r>
        <w:t xml:space="preserve">The primary objective is to enhance the internationalization rank of participating universities by leveraging high-quality teaching from abroad. This report details the logistical frameworks, cultural adaptation protocols, and regulatory compliance measures necessary to ensure that every University Lecturer placed in Japan Osaka contributes effectively to their respective departments. The project emphasizes not only academic excellence but also the holistic integration of foreign educators into the vibrant social and professional fabric of Osaka.</w:t>
      </w:r>
    </w:p>
    <w:bookmarkStart w:id="21" w:name="ii.-background-and-context"/>
    <w:p>
      <w:pPr>
        <w:pStyle w:val="Heading2"/>
      </w:pPr>
      <w:r>
        <w:rPr>
          <w:iCs/>
          <w:i/>
        </w:rPr>
        <w:t xml:space="preserve">II. Background and Context</w:t>
      </w:r>
    </w:p>
    <w:p>
      <w:pPr>
        <w:pStyle w:val="FirstParagraph"/>
      </w:pPr>
      <w:r>
        <w:t xml:space="preserve">In recent years, Japan has seen a surge in interest regarding international education. However, traditional teaching methods often remain rigid, necessitating the introduction of dynamic pedagogical styles brought by international faculty. Osaka stands out as a prime location for this initiative due to its historical significance as a commercial hub and its reputation for welcoming outsiders compared to other Japanese cities.</w:t>
      </w:r>
    </w:p>
    <w:p>
      <w:pPr>
        <w:pStyle w:val="BodyText"/>
      </w:pPr>
      <w:r>
        <w:t xml:space="preserve">The specific focus on Japan Osaka allows for a concentrated effort in one geographic area, facilitating networking among lecturers, shared professional development workshops, and stronger ties between universities and local government bodies. The cultural richness of Osaka, known locally as "Kuidaore" (the city that eats itself out of house and home), provides a unique backdrop for expatriate University Lecturers to experience authentic Japanese culture beyond the typical tourist experience.</w:t>
      </w:r>
    </w:p>
    <w:bookmarkEnd w:id="21"/>
    <w:bookmarkStart w:id="22" w:name="iii.-strategic-objectives"/>
    <w:p>
      <w:pPr>
        <w:pStyle w:val="Heading2"/>
      </w:pPr>
      <w:r>
        <w:rPr>
          <w:iCs/>
          <w:i/>
        </w:rPr>
        <w:t xml:space="preserve">III. Strategic Objectives</w:t>
      </w:r>
    </w:p>
    <w:p>
      <w:pPr>
        <w:pStyle w:val="FirstParagraph"/>
      </w:pPr>
      <w:r>
        <w:t xml:space="preserve">The project is driven by three core pillars essential for success:</w:t>
      </w:r>
    </w:p>
    <w:p>
      <w:pPr>
        <w:numPr>
          <w:ilvl w:val="0"/>
          <w:numId w:val="1001"/>
        </w:numPr>
        <w:pStyle w:val="Compact"/>
      </w:pPr>
      <w:r>
        <w:rPr>
          <w:bCs/>
          <w:b/>
        </w:rPr>
        <w:t xml:space="preserve">Academic Excellence:</w:t>
      </w:r>
      <w:r>
        <w:t xml:space="preserve">To raise the quality of instruction in English-medium courses within Japanese universities. A University Lecturer must possess not only subject matter expertise but also the ability to engage students who may have varying levels of English proficiency.</w:t>
      </w:r>
    </w:p>
    <w:p>
      <w:pPr>
        <w:numPr>
          <w:ilvl w:val="0"/>
          <w:numId w:val="1001"/>
        </w:numPr>
        <w:pStyle w:val="Compact"/>
      </w:pPr>
      <w:r>
        <w:t xml:space="preserve">Cultural Bridge-Building:: To act as a cultural ambassador, fostering mutual understanding between Japanese students and international peers. In Japan Osaka, where business etiquette and social norms are deeply entrenched, these lecturers serve as vital intermediaries in cross-cultural communication.</w:t>
      </w:r>
    </w:p>
    <w:p>
      <w:pPr>
        <w:numPr>
          <w:ilvl w:val="0"/>
          <w:numId w:val="1001"/>
        </w:numPr>
        <w:pStyle w:val="Compact"/>
      </w:pPr>
      <w:r>
        <w:rPr>
          <w:bCs/>
          <w:b/>
        </w:rPr>
        <w:t xml:space="preserve">Global Competitiveness:</w:t>
      </w:r>
      <w:r>
        <w:t xml:space="preserve">To improve the global rankings of partner universities by increasing their diversity metrics and international collaboration opportunities.</w:t>
      </w:r>
    </w:p>
    <w:bookmarkEnd w:id="22"/>
    <w:bookmarkStart w:id="23" w:name="iv.-recruitment-and-selection-process"/>
    <w:p>
      <w:pPr>
        <w:pStyle w:val="Heading2"/>
      </w:pPr>
      <w:r>
        <w:rPr>
          <w:iCs/>
          <w:i/>
        </w:rPr>
        <w:t xml:space="preserve">IV. Recruitment and Selection Process</w:t>
      </w:r>
    </w:p>
    <w:p>
      <w:pPr>
        <w:pStyle w:val="FirstParagraph"/>
      </w:pPr>
      <w:r>
        <w:t xml:space="preserve">The selection criteria for potential University Lecturer candidates are rigorous, ensuring that only qualified professionals are placed in Japan Osaka. The process involves the following stages:</w:t>
      </w:r>
    </w:p>
    <w:p>
      <w:pPr>
        <w:numPr>
          <w:ilvl w:val="0"/>
          <w:numId w:val="1002"/>
        </w:numPr>
        <w:pStyle w:val="Compact"/>
      </w:pPr>
      <w:r>
        <w:rPr>
          <w:bCs/>
          <w:b/>
        </w:rPr>
        <w:t xml:space="preserve">Credential Verification:</w:t>
      </w:r>
      <w:r>
        <w:t xml:space="preserve">All candidates must hold a Master’s degree or higher in their field of expertise, along with teaching certifications where applicable.</w:t>
      </w:r>
    </w:p>
    <w:p>
      <w:pPr>
        <w:numPr>
          <w:ilvl w:val="0"/>
          <w:numId w:val="1002"/>
        </w:numPr>
        <w:pStyle w:val="Compact"/>
      </w:pPr>
      <w:r>
        <w:rPr>
          <w:bCs/>
          <w:b/>
        </w:rPr>
        <w:t xml:space="preserve">Pedagogical Assessment:</w:t>
      </w:r>
      <w:r>
        <w:t xml:space="preserve">Candidates undergo a mock-teaching session to evaluate their classroom management skills and ability to adapt content for diverse learning styles.</w:t>
      </w:r>
    </w:p>
    <w:p>
      <w:pPr>
        <w:numPr>
          <w:ilvl w:val="0"/>
          <w:numId w:val="1002"/>
        </w:numPr>
        <w:pStyle w:val="Compact"/>
      </w:pPr>
      <w:r>
        <w:t xml:space="preserve">Cultural Fit Evaluation:: Interviews include scenarios specific to the Japanese academic context. We assess resilience, adaptability, and respect for hierarchy, which are crucial components of working in Japan Osaka.</w:t>
      </w:r>
    </w:p>
    <w:bookmarkEnd w:id="23"/>
    <w:bookmarkStart w:id="27" w:name="v.-integration-and-support-framework"/>
    <w:p>
      <w:pPr>
        <w:pStyle w:val="Heading2"/>
      </w:pPr>
      <w:r>
        <w:rPr>
          <w:iCs/>
          <w:i/>
        </w:rPr>
        <w:t xml:space="preserve">V. Integration and Support Framework</w:t>
      </w:r>
    </w:p>
    <w:p>
      <w:pPr>
        <w:pStyle w:val="FirstParagraph"/>
      </w:pPr>
      <w:r>
        <w:t xml:space="preserve">Relocation to Japan Osaka presents unique challenges for foreign nationals. Therefore, this Project Report mandates a robust support system comprising the following elements:</w:t>
      </w:r>
    </w:p>
    <w:bookmarkStart w:id="24" w:name="a.-pre-arrival-orientation"/>
    <w:p>
      <w:pPr>
        <w:pStyle w:val="Heading3"/>
      </w:pPr>
      <w:r>
        <w:rPr>
          <w:bCs/>
          <w:b/>
        </w:rPr>
        <w:t xml:space="preserve">A. Pre-Arrival Orientation</w:t>
      </w:r>
    </w:p>
    <w:p>
      <w:pPr>
        <w:pStyle w:val="FirstParagraph"/>
      </w:pPr>
      <w:r>
        <w:t xml:space="preserve">All selected University Lecturer applicants receive comprehensive digital training on Japanese business etiquette, basic language skills (Hiragana and Katakana), and an introduction to the specific cultural nuances of Osaka. This includes understanding local dialects (Kansai-ben) which differ significantly from standard Tokyo Japanese.</w:t>
      </w:r>
    </w:p>
    <w:bookmarkEnd w:id="24"/>
    <w:bookmarkStart w:id="25" w:name="b.-on-site-orientation-in-japan-osaka"/>
    <w:p>
      <w:pPr>
        <w:pStyle w:val="Heading3"/>
      </w:pPr>
      <w:r>
        <w:rPr>
          <w:bCs/>
          <w:b/>
        </w:rPr>
        <w:t xml:space="preserve">B. On-Site Orientation in Japan Osaka</w:t>
      </w:r>
    </w:p>
    <w:p>
      <w:pPr>
        <w:pStyle w:val="FirstParagraph"/>
      </w:pPr>
      <w:r>
        <w:t xml:space="preserve">Upon arrival, lecturers participate in a two-week intensive orientation hosted by the host university and local municipal partners. This includes:</w:t>
      </w:r>
    </w:p>
    <w:p>
      <w:pPr>
        <w:numPr>
          <w:ilvl w:val="0"/>
          <w:numId w:val="1003"/>
        </w:numPr>
        <w:pStyle w:val="Compact"/>
      </w:pPr>
      <w:r>
        <w:t xml:space="preserve">Navigating public transportation systems in Osaka.</w:t>
      </w:r>
    </w:p>
    <w:p>
      <w:pPr>
        <w:numPr>
          <w:ilvl w:val="0"/>
          <w:numId w:val="1003"/>
        </w:numPr>
        <w:pStyle w:val="Compact"/>
      </w:pPr>
      <w:r>
        <w:t xml:space="preserve">Understanding healthcare and insurance systems under Japan’s national coverage.</w:t>
      </w:r>
    </w:p>
    <w:p>
      <w:pPr>
        <w:numPr>
          <w:ilvl w:val="0"/>
          <w:numId w:val="1003"/>
        </w:numPr>
        <w:pStyle w:val="Compact"/>
      </w:pPr>
      <w:r>
        <w:t xml:space="preserve">Housing assistance to secure accommodation in safe, accessible neighborhoods near campus hubs.</w:t>
      </w:r>
    </w:p>
    <w:bookmarkEnd w:id="25"/>
    <w:bookmarkStart w:id="26" w:name="c.-continuous-professional-development"/>
    <w:p>
      <w:pPr>
        <w:pStyle w:val="Heading3"/>
      </w:pPr>
      <w:r>
        <w:rPr>
          <w:bCs/>
          <w:b/>
        </w:rPr>
        <w:t xml:space="preserve">C. Continuous Professional Development</w:t>
      </w:r>
    </w:p>
    <w:p>
      <w:pPr>
        <w:pStyle w:val="FirstParagraph"/>
      </w:pPr>
      <w:r>
        <w:t xml:space="preserve">Regular mentorship programs pair new University Lecturers with senior Japanese faculty members. This buddy system helps navigate administrative hurdles and fosters collegial relationships, reducing the sense of isolation often experienced by expatriates in Japan.</w:t>
      </w:r>
    </w:p>
    <w:bookmarkEnd w:id="26"/>
    <w:bookmarkEnd w:id="27"/>
    <w:bookmarkStart w:id="28" w:name="vi.-challenges-and-mitigation-strategies"/>
    <w:p>
      <w:pPr>
        <w:pStyle w:val="Heading2"/>
      </w:pPr>
      <w:r>
        <w:rPr>
          <w:iCs/>
          <w:i/>
        </w:rPr>
        <w:t xml:space="preserve">VI. Challenges and Mitigation Strategies</w:t>
      </w:r>
    </w:p>
    <w:p>
      <w:pPr>
        <w:pStyle w:val="FirstParagraph"/>
      </w:pPr>
      <w:r>
        <w:t xml:space="preserve">The implementation of this project in Japan Osaka encounters several anticipated challenges:</w:t>
      </w:r>
    </w:p>
    <w:p>
      <w:pPr>
        <w:numPr>
          <w:ilvl w:val="0"/>
          <w:numId w:val="1004"/>
        </w:numPr>
        <w:pStyle w:val="Compact"/>
      </w:pPr>
      <w:r>
        <w:rPr>
          <w:bCs/>
          <w:b/>
        </w:rPr>
        <w:t xml:space="preserve">Linguistic Barriers:</w:t>
      </w:r>
      <w:r>
        <w:t xml:space="preserve"> </w:t>
      </w:r>
      <w:r>
        <w:t xml:space="preserve">While the role is taught in English, daily life requires Japanese proficiency. Mitigation involves providing subsidized language classes focused on conversational and administrative Japanese.</w:t>
      </w:r>
    </w:p>
    <w:p>
      <w:pPr>
        <w:numPr>
          <w:ilvl w:val="0"/>
          <w:numId w:val="1004"/>
        </w:numPr>
        <w:pStyle w:val="Compact"/>
      </w:pPr>
      <w:r>
        <w:t xml:space="preserve">Cultural Misunderstandings:: Differences in feedback styles (direct vs. indirect) can lead to friction. Conflict resolution training will be mandatory for both international lecturers and local staff.</w:t>
      </w:r>
    </w:p>
    <w:p>
      <w:pPr>
        <w:numPr>
          <w:ilvl w:val="0"/>
          <w:numId w:val="1004"/>
        </w:numPr>
        <w:pStyle w:val="Compact"/>
      </w:pPr>
      <w:r>
        <w:t xml:space="preserve">Visa and Legal Compliance:: Navigating the intricacies of Japanese immigration law requires dedicated HR support within each partner university to ensure all University Lecturer visas are processed efficiently and legally.</w:t>
      </w:r>
    </w:p>
    <w:bookmarkEnd w:id="28"/>
    <w:bookmarkStart w:id="29" w:name="X7c3cfb91f4c6e12dd126ef8451426300ff217a5"/>
    <w:p>
      <w:pPr>
        <w:pStyle w:val="Heading2"/>
      </w:pPr>
      <w:r>
        <w:rPr>
          <w:iCs/>
          <w:i/>
        </w:rPr>
        <w:t xml:space="preserve">VII. Expected Outcomes and Impact Assessment</w:t>
      </w:r>
    </w:p>
    <w:p>
      <w:pPr>
        <w:pStyle w:val="FirstParagraph"/>
      </w:pPr>
      <w:r>
        <w:t xml:space="preserve">Success will be measured through quantitative and qualitative metrics over a three-year period:</w:t>
      </w:r>
    </w:p>
    <w:p>
      <w:pPr>
        <w:numPr>
          <w:ilvl w:val="0"/>
          <w:numId w:val="1005"/>
        </w:numPr>
        <w:pStyle w:val="Compact"/>
      </w:pPr>
      <w:r>
        <w:t xml:space="preserve">Student Satisfaction Scores:: Post-semester surveys evaluating the effectiveness of English-medium instruction.</w:t>
      </w:r>
    </w:p>
    <w:p>
      <w:pPr>
        <w:numPr>
          <w:ilvl w:val="0"/>
          <w:numId w:val="1005"/>
        </w:numPr>
        <w:pStyle w:val="Compact"/>
      </w:pPr>
      <w:r>
        <w:t xml:space="preserve">Cultural Exchange Events:: Quantifying the number of joint events organized by University Lecturer and Japanese students in Japan Osaka.</w:t>
      </w:r>
    </w:p>
    <w:p>
      <w:pPr>
        <w:numPr>
          <w:ilvl w:val="0"/>
          <w:numId w:val="1005"/>
        </w:numPr>
        <w:pStyle w:val="Compact"/>
      </w:pPr>
      <w:r>
        <w:t xml:space="preserve">Retention Rates:: Tracking long-term employment stability to assess job satisfaction and adaptation success.</w:t>
      </w:r>
    </w:p>
    <w:p>
      <w:pPr>
        <w:pStyle w:val="FirstParagraph"/>
      </w:pPr>
      <w:r>
        <w:t xml:space="preserve">The ultimate goal is to establish a replicable model for international faculty recruitment that can be expanded beyond Osaka to other regions in Japan. By positioning University Lecturer roles as prestigious, well-supported career paths rather than temporary gigs, the project aims to attract top-tier global talent.</w:t>
      </w:r>
    </w:p>
    <w:bookmarkEnd w:id="29"/>
    <w:bookmarkStart w:id="30" w:name="viii.-conclusion"/>
    <w:p>
      <w:pPr>
        <w:pStyle w:val="Heading2"/>
      </w:pPr>
      <w:r>
        <w:rPr>
          <w:iCs/>
          <w:i/>
        </w:rPr>
        <w:t xml:space="preserve">VIII. Conclusion</w:t>
      </w:r>
    </w:p>
    <w:p>
      <w:pPr>
        <w:pStyle w:val="FirstParagraph"/>
      </w:pPr>
      <w:r>
        <w:t xml:space="preserve">The integration of international University Lecturers into the higher education sector in Japan Osaka represents a significant step toward globalizing Japanese academia. This Project Report highlights that success relies not just on hiring qualified individuals, but on creating an ecosystem that supports their professional and personal well-being. By investing in thorough preparation, continuous support, and cultural sensitivity training, we ensure that these educators thrive in Japan Osaka.</w:t>
      </w:r>
    </w:p>
    <w:p>
      <w:pPr>
        <w:pStyle w:val="BodyText"/>
      </w:pPr>
      <w:r>
        <w:t xml:space="preserve">This initiative promises to enrich the academic landscape of Osaka University partners and contribute to the broader societal goal of increasing international cooperation. The detailed planning outlined herein provides a roadmap for sustainable growth and mutual benefit for all stakeholders involved in this vital educational endeavor.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University Lecturer Recruitment and Integration in Japan, Osaka</dc:title>
  <dc:creator/>
  <dc:language>en</dc:language>
  <cp:keywords/>
  <dcterms:created xsi:type="dcterms:W3CDTF">2026-07-29T11:49:28Z</dcterms:created>
  <dcterms:modified xsi:type="dcterms:W3CDTF">2026-07-29T11:49:28Z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