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Moscow,</w:t>
      </w:r>
      <w:r>
        <w:t xml:space="preserve"> </w:t>
      </w:r>
      <w:r>
        <w:t xml:space="preserve">Russia</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Board and Strategic Planning Committee</w:t>
      </w:r>
      <w:r>
        <w:br/>
      </w:r>
      <w:r>
        <w:t xml:space="preserve">e: Department of International Educational Affairs</w:t>
      </w:r>
      <w:r>
        <w:br/>
      </w:r>
      <w:r>
        <w:t xml:space="preserve">:</w:t>
      </w:r>
      <w:r>
        <w:rPr>
          <w:iCs/>
          <w:i/>
        </w:rPr>
        <w:t xml:space="preserve">Evaluation and Strategic Deployment of the University Lecturer Position in Russia Moscow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comprehensive analysis and strategic framework for the recruitment, integration, and operational efficacy of the University Lecturer position within higher education institutions located in Russia Moscow. As Moscow continues to solidify its status as a premier hub for academic excellence and international collaboration in Eastern Europe, the role of the University Lecturer has evolved from a purely pedagogical function to a multifaceted strategic asset. This document outlines the specific requirements, cultural nuances, academic expectations, and logistical considerations necessary to ensure that any University Lecturer appointed in this dynamic metropolitan region can thrive. The primary objective is to optimize teaching quality, foster research output, and enhance the global ranking of our partner institutions in Russia Moscow through targeted support systems for academic staff.</w:t>
      </w:r>
    </w:p>
    <w:bookmarkEnd w:id="20"/>
    <w:bookmarkStart w:id="21" w:name="X05f80ada811fa6e3619b07f0c5dd0d5340b08e4"/>
    <w:p>
      <w:pPr>
        <w:pStyle w:val="Heading2"/>
      </w:pPr>
      <w:r>
        <w:t xml:space="preserve">2. Contextual Background: The Academic Landscape of Russia Moscow</w:t>
      </w:r>
    </w:p>
    <w:p>
      <w:pPr>
        <w:pStyle w:val="FirstParagraph"/>
      </w:pPr>
      <w:r>
        <w:t xml:space="preserve">Moscow represents the intellectual heart of Russia, hosting some of the country’s most prestigious universities, including Lomonosov Moscow State University and the Higher School of Economics. The educational ecosystem in Russia Moscow is characterized by a rigorous emphasis on theoretical foundations combined with an increasing demand for practical, industry-aligned skills. The transition toward internationalization has placed significant pressure on institutions to attract high-caliber faculty who can bridge local traditions with global best practices.</w:t>
      </w:r>
    </w:p>
    <w:p>
      <w:pPr>
        <w:pStyle w:val="BodyText"/>
      </w:pPr>
      <w:r>
        <w:t xml:space="preserve">The role of the University Lecturer in this context is particularly critical. Unlike Western models where the distinction between teaching and research roles is sometimes more sharply defined, Russian academia often expects a dual competency. Furthermore, the specific geopolitical and cultural environment of Russia Moscow requires faculty members to possess not only academic rigor but also high levels of cultural intelligence and adaptability.</w:t>
      </w:r>
    </w:p>
    <w:bookmarkEnd w:id="21"/>
    <w:bookmarkStart w:id="22" w:name="X26ddb5129c79ebae8c5b698870d6c2a3e9e3e18"/>
    <w:p>
      <w:pPr>
        <w:pStyle w:val="Heading2"/>
      </w:pPr>
      <w:r>
        <w:t xml:space="preserve">3. Role Definition: The Modern University Lecturer</w:t>
      </w:r>
    </w:p>
    <w:p>
      <w:pPr>
        <w:pStyle w:val="FirstParagraph"/>
      </w:pPr>
      <w:r>
        <w:t xml:space="preserve">The core mandate of the University Lecturer in Russia Moscow extends beyond classroom instruction. This Project Report identifies three primary pillars of responsibility:</w:t>
      </w:r>
    </w:p>
    <w:p>
      <w:pPr>
        <w:numPr>
          <w:ilvl w:val="0"/>
          <w:numId w:val="1001"/>
        </w:numPr>
        <w:pStyle w:val="Compact"/>
      </w:pPr>
      <w:r>
        <w:rPr>
          <w:bCs/>
          <w:b/>
        </w:rPr>
        <w:t xml:space="preserve">Pedagogical Excellence:</w:t>
      </w:r>
      <w:r>
        <w:t xml:space="preserve">The lecturer must deliver high-quality lectures and seminars that adhere to the Federal State Educational Standards (FSES) of Russia while incorporating innovative teaching methodologies. This includes managing large lecture halls typical in Russian universities and providing personalized mentorship to students preparing for rigorous state examinations.</w:t>
      </w:r>
    </w:p>
    <w:p>
      <w:pPr>
        <w:numPr>
          <w:ilvl w:val="0"/>
          <w:numId w:val="1001"/>
        </w:numPr>
        <w:pStyle w:val="Compact"/>
      </w:pPr>
      <w:r>
        <w:rPr>
          <w:bCs/>
          <w:b/>
        </w:rPr>
        <w:t xml:space="preserve">Research and Publication:</w:t>
      </w:r>
      <w:r>
        <w:t xml:space="preserve">Institutions in Russia Moscow are increasingly evaluated based on publication indices such as the Scopus and Web of Science databases. The University Lecturer is expected to contribute to the research output of their department, securing grants, publishing in peer-reviewed journals, and supervising graduate students.</w:t>
      </w:r>
    </w:p>
    <w:p>
      <w:pPr>
        <w:numPr>
          <w:ilvl w:val="0"/>
          <w:numId w:val="1001"/>
        </w:numPr>
        <w:pStyle w:val="Compact"/>
      </w:pPr>
      <w:r>
        <w:rPr>
          <w:bCs/>
          <w:b/>
        </w:rPr>
        <w:t xml:space="preserve">Administrative and Civic Engagement:</w:t>
      </w:r>
      <w:r>
        <w:t xml:space="preserve">Faculty members are often expected to participate in departmental governance and university-wide committees. Additionally, there is a growing expectation for lecturers to engage with the local community in Russia Moscow through public lectures, consultancy work, or partnerships with local industries.</w:t>
      </w:r>
    </w:p>
    <w:bookmarkEnd w:id="22"/>
    <w:bookmarkStart w:id="23" w:name="recruitment-and-qualification-standards"/>
    <w:p>
      <w:pPr>
        <w:pStyle w:val="Heading2"/>
      </w:pPr>
      <w:r>
        <w:t xml:space="preserve">4. Recruitment and Qualification Standards</w:t>
      </w:r>
    </w:p>
    <w:p>
      <w:pPr>
        <w:pStyle w:val="FirstParagraph"/>
      </w:pPr>
      <w:r>
        <w:t xml:space="preserve">To ensure the success of our academic initiatives in Russia Moscow, this Project Report recommends strict adherence to the following qualification standards for prospective University Lecturers:</w:t>
      </w:r>
    </w:p>
    <w:p>
      <w:pPr>
        <w:pStyle w:val="BodyText"/>
      </w:pPr>
      <w:r>
        <w:rPr>
          <w:bCs/>
          <w:b/>
        </w:rPr>
        <w:t xml:space="preserve">Candidate Profile Requirements:</w:t>
      </w:r>
      <w:r>
        <w:br/>
      </w:r>
      <w:r>
        <w:t xml:space="preserve">1. A minimum of a Master’s degree in the relevant field, with a strong preference for those holding a Ph.D. or an equivalent Doctor of Sciences (Doktor Nauk) degree.</w:t>
      </w:r>
      <w:r>
        <w:br/>
      </w:r>
      <w:r>
        <w:t xml:space="preserve">2. Demonstrated experience in higher education teaching, preferably within the Russian academic system or comparable rigorous systems.</w:t>
      </w:r>
      <w:r>
        <w:br/>
      </w:r>
      <w:r>
        <w:t xml:space="preserve">3. Proficiency in the English language for international courses, alongside functional proficiency in Russian for administrative integration and student interaction.</w:t>
      </w:r>
      <w:r>
        <w:br/>
      </w:r>
      <w:r>
        <w:t xml:space="preserve">4. A proven track record of research publication and grant acquisition.</w:t>
      </w:r>
    </w:p>
    <w:p>
      <w:pPr>
        <w:pStyle w:val="BodyText"/>
      </w:pPr>
      <w:r>
        <w:t xml:space="preserve">The recruitment process must be sensitive to the local labor market dynamics in Russia Moscow. Competition for top academic talent is fierce, necessitating a compensation package that includes competitive salaries, housing allowances, and relocation support.</w:t>
      </w:r>
    </w:p>
    <w:bookmarkEnd w:id="23"/>
    <w:bookmarkStart w:id="24" w:name="X70d59b563ab311ace26198b15901ee29505ce98"/>
    <w:p>
      <w:pPr>
        <w:pStyle w:val="Heading2"/>
      </w:pPr>
      <w:r>
        <w:t xml:space="preserve">5. Cultural Integration and Localization Strategies</w:t>
      </w:r>
    </w:p>
    <w:p>
      <w:pPr>
        <w:pStyle w:val="FirstParagraph"/>
      </w:pPr>
      <w:r>
        <w:t xml:space="preserve">A critical failure point for international academic projects is the lack of cultural integration. The University Lecturer operating in Russia Moscow must navigate a complex social hierarchy and communication style that differs significantly from Western norms. Directness in feedback, respect for hierarchical structures, and an emphasis on formal titles are prevalent.</w:t>
      </w:r>
    </w:p>
    <w:p>
      <w:pPr>
        <w:pStyle w:val="BodyText"/>
      </w:pPr>
      <w:r>
        <w:t xml:space="preserve">This Project Report advocates for a mandatory "Induction Protocol" upon arrival in Russia Moscow. This protocol should include:</w:t>
      </w:r>
    </w:p>
    <w:p>
      <w:pPr>
        <w:numPr>
          <w:ilvl w:val="0"/>
          <w:numId w:val="1002"/>
        </w:numPr>
        <w:pStyle w:val="Compact"/>
      </w:pPr>
      <w:r>
        <w:rPr>
          <w:bCs/>
          <w:b/>
        </w:rPr>
        <w:t xml:space="preserve">Linguistic Support:</w:t>
      </w:r>
      <w:r>
        <w:t xml:space="preserve">Intensive Russian language courses tailored to academic terminology and daily social interaction.</w:t>
      </w:r>
    </w:p>
    <w:p>
      <w:pPr>
        <w:numPr>
          <w:ilvl w:val="0"/>
          <w:numId w:val="1002"/>
        </w:numPr>
        <w:pStyle w:val="Compact"/>
      </w:pPr>
      <w:r>
        <w:rPr>
          <w:bCs/>
          <w:b/>
        </w:rPr>
        <w:t xml:space="preserve">Cultural Orientation:</w:t>
      </w:r>
      <w:r>
        <w:t xml:space="preserve">Seminars on Russian business etiquette, academic traditions, and the specific historical context of Moscow’s universities.</w:t>
      </w:r>
    </w:p>
    <w:p>
      <w:pPr>
        <w:numPr>
          <w:ilvl w:val="0"/>
          <w:numId w:val="1002"/>
        </w:numPr>
        <w:pStyle w:val="Compact"/>
      </w:pPr>
      <w:r>
        <w:rPr>
          <w:bCs/>
          <w:b/>
        </w:rPr>
        <w:t xml:space="preserve">Mentorship Programs:</w:t>
      </w:r>
      <w:r>
        <w:t xml:space="preserve">Pairing new University Lecturers with senior local faculty members who can provide guidance on navigating institutional bureaucracy and building professional networks within Russia Moscow.</w:t>
      </w:r>
    </w:p>
    <w:bookmarkEnd w:id="24"/>
    <w:bookmarkStart w:id="25" w:name="X76db81f2b3157fc368f5810f8e77210d2e88cc2"/>
    <w:p>
      <w:pPr>
        <w:pStyle w:val="Heading2"/>
      </w:pPr>
      <w:r>
        <w:t xml:space="preserve">6. Logistical and Administrative Considerations</w:t>
      </w:r>
    </w:p>
    <w:p>
      <w:pPr>
        <w:pStyle w:val="FirstParagraph"/>
      </w:pPr>
      <w:r>
        <w:t xml:space="preserve">The practicalities of living and working in Russia Moscow present unique challenges that must be addressed to retain talent. The high cost of living in central Moscow requires careful salary structuring. Additionally, visa regulations for foreign nationals are subject to change; therefore, a dedicated legal support team is essential to handle work permits and residency registrations efficiently.</w:t>
      </w:r>
    </w:p>
    <w:p>
      <w:pPr>
        <w:pStyle w:val="BodyText"/>
      </w:pPr>
      <w:r>
        <w:t xml:space="preserve">Furthermore, the digital infrastructure in Russia Moscow is advanced but isolated from certain global platforms due to sanctions and regulatory environments. The University Lecturer must be provided with access to local equivalents of necessary software tools (e.g., Yandex services instead of Google Workspace where applicable) and secure communication channels.</w:t>
      </w:r>
    </w:p>
    <w:bookmarkEnd w:id="25"/>
    <w:bookmarkStart w:id="26" w:name="X95fdcf372610ed29132b2ab0f4d55d2d3421005"/>
    <w:p>
      <w:pPr>
        <w:pStyle w:val="Heading2"/>
      </w:pPr>
      <w:r>
        <w:t xml:space="preserve">7. Performance Evaluation and Career Development</w:t>
      </w:r>
    </w:p>
    <w:p>
      <w:pPr>
        <w:pStyle w:val="FirstParagraph"/>
      </w:pPr>
      <w:r>
        <w:t xml:space="preserve">Evaluating the performance of a University Lecturer in Russia Moscow requires a balanced scorecard approach. Metrics should include student satisfaction scores, research publication counts, grant funding secured, and participation in university service activities. It is crucial that these evaluations are conducted transparently and with an understanding of the specific challenges faced by lecturers adapting to the local environment.</w:t>
      </w:r>
    </w:p>
    <w:p>
      <w:pPr>
        <w:pStyle w:val="BodyText"/>
      </w:pPr>
      <w:r>
        <w:t xml:space="preserve">Career development pathways should be clearly defined. Promotions in Russian academia are often tied to academic titles (Associate Professor, Professor). The institution must support University Lecturers in navigating this complex title-attainment process, which involves defending dissertations and publishing specific quantities of articles.</w:t>
      </w:r>
    </w:p>
    <w:bookmarkEnd w:id="26"/>
    <w:bookmarkStart w:id="27" w:name="conclusion-and-recommendations"/>
    <w:p>
      <w:pPr>
        <w:pStyle w:val="Heading2"/>
      </w:pPr>
      <w:r>
        <w:t xml:space="preserve">8. Conclusion and Recommendations</w:t>
      </w:r>
    </w:p>
    <w:p>
      <w:pPr>
        <w:pStyle w:val="FirstParagraph"/>
      </w:pPr>
      <w:r>
        <w:t xml:space="preserve">The implementation of the University Lecturer role in Russia Moscow is a strategic imperative for enhancing the global competitiveness of our academic partners. By recognizing the unique demands placed on faculty members in this specific geographic and cultural context, we can create a supportive environment that fosters both individual success and institutional growth.</w:t>
      </w:r>
    </w:p>
    <w:p>
      <w:pPr>
        <w:pStyle w:val="BodyText"/>
      </w:pPr>
      <w:r>
        <w:t xml:space="preserve">This Project Report concludes with the following key recommendations:</w:t>
      </w:r>
    </w:p>
    <w:p>
      <w:pPr>
        <w:numPr>
          <w:ilvl w:val="0"/>
          <w:numId w:val="1003"/>
        </w:numPr>
        <w:pStyle w:val="Compact"/>
      </w:pPr>
      <w:r>
        <w:rPr>
          <w:bCs/>
          <w:b/>
        </w:rPr>
        <w:t xml:space="preserve">Holistic Recruitment:</w:t>
      </w:r>
      <w:r>
        <w:t xml:space="preserve">Move beyond academic credentials to assess cultural adaptability and resilience.</w:t>
      </w:r>
    </w:p>
    <w:p>
      <w:pPr>
        <w:numPr>
          <w:ilvl w:val="0"/>
          <w:numId w:val="1003"/>
        </w:numPr>
        <w:pStyle w:val="Compact"/>
      </w:pPr>
      <w:r>
        <w:rPr>
          <w:bCs/>
          <w:b/>
        </w:rPr>
        <w:t xml:space="preserve">Robust Support Systems:</w:t>
      </w:r>
      <w:r>
        <w:t xml:space="preserve">Invest heavily in language training, legal support, and mentorship during the initial two years of employment.</w:t>
      </w:r>
    </w:p>
    <w:p>
      <w:pPr>
        <w:numPr>
          <w:ilvl w:val="0"/>
          <w:numId w:val="1003"/>
        </w:numPr>
        <w:pStyle w:val="Compact"/>
      </w:pPr>
      <w:r>
        <w:rPr>
          <w:bCs/>
          <w:b/>
        </w:rPr>
        <w:t xml:space="preserve">Localized Evaluation Metrics:</w:t>
      </w:r>
      <w:r>
        <w:t xml:space="preserve">Award performance criteria that reflect the realities of conducting research and teaching within the regulatory framework of Russia Moscow.</w:t>
      </w:r>
    </w:p>
    <w:p>
      <w:pPr>
        <w:pStyle w:val="FirstParagraph"/>
      </w:pPr>
      <w:r>
        <w:t xml:space="preserve">By adhering to these guidelines, we ensure that every University Lecturer appointed in this region is not only academically qualified but also culturally integrated and professionally supported, ultimately contributing to a vibrant and successful academic community in Russia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Role in Moscow, Russia</dc:title>
  <dc:creator/>
  <dc:language>en</dc:language>
  <cp:keywords/>
  <dcterms:created xsi:type="dcterms:W3CDTF">2026-07-29T20:29:04Z</dcterms:created>
  <dcterms:modified xsi:type="dcterms:W3CDTF">2026-07-29T20:29:04Z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