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Turkey</w:t>
      </w:r>
      <w:r>
        <w:t xml:space="preserve"> </w:t>
      </w:r>
      <w:r>
        <w:t xml:space="preserve">Istanbul</w:t>
      </w:r>
    </w:p>
    <w:bookmarkStart w:id="34" w:name="Xde4b4034336f515639e7927fe5c4f7dc7459eb0"/>
    <w:p>
      <w:pPr>
        <w:pStyle w:val="Heading1"/>
      </w:pPr>
      <w:r>
        <w:t xml:space="preserve">Project Report Strategic Framework for a University Lecturer Position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Recruitment Committee / International Education Board</w:t>
      </w:r>
      <w:r>
        <w:br/>
      </w:r>
      <w:r>
        <w:rPr>
          <w:bCs/>
          <w:b/>
        </w:rPr>
        <w:t xml:space="preserve">From:</w:t>
      </w:r>
      <w:r>
        <w:t xml:space="preserve"> </w:t>
      </w:r>
      <w:r>
        <w:t xml:space="preserve">Project Management Office</w:t>
      </w:r>
      <w:r>
        <w:br/>
      </w:r>
      <w:r>
        <w:rPr>
          <w:bCs/>
          <w:b/>
        </w:rPr>
        <w:t xml:space="preserve">Subject:</w:t>
      </w:r>
      <w:r>
        <w:t xml:space="preserve">Critical Analysis and Strategic Implementation of the University Lecturer Role in Istanbul, Turkey</w:t>
      </w:r>
    </w:p>
    <w:bookmarkStart w:id="20" w:name="executive-summary"/>
    <w:p>
      <w:pPr>
        <w:pStyle w:val="Heading2"/>
      </w:pPr>
      <w:r>
        <w:t xml:space="preserve">1.0 Executive Summary</w:t>
      </w:r>
    </w:p>
    <w:p>
      <w:pPr>
        <w:pStyle w:val="FirstParagraph"/>
      </w:pPr>
      <w:r>
        <w:t xml:space="preserve">This project report provides a comprehensive analysis of the role, responsibilities, strategic importance, and operational challenges associated with hiring a</w:t>
      </w:r>
      <w:r>
        <w:t xml:space="preserve"> </w:t>
      </w:r>
      <w:r>
        <w:rPr>
          <w:bCs/>
          <w:b/>
        </w:rPr>
        <w:t xml:space="preserve">University Lecturer</w:t>
      </w:r>
      <w:r>
        <w:t xml:space="preserve"> </w:t>
      </w:r>
      <w:r>
        <w:t xml:space="preserve">within the higher education sector in</w:t>
      </w:r>
      <w:r>
        <w:t xml:space="preserve"> </w:t>
      </w:r>
      <w:r>
        <w:rPr>
          <w:bCs/>
          <w:b/>
        </w:rPr>
        <w:t xml:space="preserve">Turkey Istanbul</w:t>
      </w:r>
      <w:r>
        <w:t xml:space="preserve">. As global academic mobility increases and Turkey solidifies its position as an educational hub bridging Europe and Asia, understanding the nuances of this specific role in this specific geographic location is paramount. This document outlines the necessity of adapting curricula to local contexts, navigating the regulatory framework established by the Council of Higher Education (YÖK), and fostering a multicultural academic environment that leverages Istanbul’s unique cultural capital.</w:t>
      </w:r>
    </w:p>
    <w:bookmarkEnd w:id="20"/>
    <w:bookmarkStart w:id="21" w:name="introduction"/>
    <w:p>
      <w:pPr>
        <w:pStyle w:val="Heading2"/>
      </w:pPr>
      <w:r>
        <w:t xml:space="preserve">2.0 Introduction</w:t>
      </w:r>
    </w:p>
    <w:p>
      <w:pPr>
        <w:pStyle w:val="FirstParagraph"/>
      </w:pPr>
      <w:r>
        <w:t xml:space="preserve">The landscape of higher education in</w:t>
      </w:r>
      <w:r>
        <w:t xml:space="preserve"> </w:t>
      </w:r>
      <w:r>
        <w:rPr>
          <w:bCs/>
          <w:b/>
        </w:rPr>
        <w:t xml:space="preserve">Turkey Istanbul</w:t>
      </w:r>
      <w:r>
        <w:t xml:space="preserve"> </w:t>
      </w:r>
      <w:r>
        <w:t xml:space="preserve">is dynamic and rapidly evolving. With over 10 million residents, Istanbul serves as the economic, cultural, and historical heart of the nation. It hosts numerous prestigious public universities such as Boğaziçi University, Middle East Technical University (METU - Northern Campus), Koç University, and Sabancı University. The demand for high-quality instruction in English-medium programs has surged due to international student enrollment and global accreditation standards.</w:t>
      </w:r>
    </w:p>
    <w:p>
      <w:pPr>
        <w:pStyle w:val="BodyText"/>
      </w:pPr>
      <w:r>
        <w:t xml:space="preserve">The</w:t>
      </w:r>
      <w:r>
        <w:t xml:space="preserve"> </w:t>
      </w:r>
      <w:r>
        <w:rPr>
          <w:bCs/>
          <w:b/>
        </w:rPr>
        <w:t xml:space="preserve">University Lecturer</w:t>
      </w:r>
      <w:r>
        <w:t xml:space="preserve"> </w:t>
      </w:r>
      <w:r>
        <w:t xml:space="preserve">is not merely an instructor but a pivotal agent of academic diplomacy. In the context of</w:t>
      </w:r>
    </w:p>
    <w:p>
      <w:pPr>
        <w:pStyle w:val="BodyText"/>
      </w:pPr>
      <w:r>
        <w:t xml:space="preserve">Turkey Istanbul, this role requires a delicate balance between maintaining rigorous international academic standards and respecting local cultural, legal, and social norms. This report details the operational framework required to support such positions effectively.</w:t>
      </w:r>
    </w:p>
    <w:bookmarkEnd w:id="21"/>
    <w:bookmarkStart w:id="24" w:name="Xe506217101d36f6276d06a1823d51359a611a52"/>
    <w:p>
      <w:pPr>
        <w:pStyle w:val="Heading2"/>
      </w:pPr>
      <w:r>
        <w:t xml:space="preserve">3.0 The Role Definition: University Lecturer in Context</w:t>
      </w:r>
    </w:p>
    <w:bookmarkStart w:id="22" w:name="academic-responsibilities"/>
    <w:p>
      <w:pPr>
        <w:pStyle w:val="Heading3"/>
      </w:pPr>
      <w:r>
        <w:t xml:space="preserve">3.1 Academic Responsibilities</w:t>
      </w:r>
    </w:p>
    <w:p>
      <w:pPr>
        <w:pStyle w:val="FirstParagraph"/>
      </w:pPr>
      <w:r>
        <w:t xml:space="preserve">The primary duty of a</w:t>
      </w:r>
      <w:r>
        <w:t xml:space="preserve"> </w:t>
      </w:r>
      <w:r>
        <w:rPr>
          <w:bCs/>
          <w:b/>
        </w:rPr>
        <w:t xml:space="preserve">University Lecturer</w:t>
      </w:r>
      <w:r>
        <w:t xml:space="preserve"> </w:t>
      </w:r>
      <w:r>
        <w:t xml:space="preserve">in Istanbul is to deliver high-quality instruction in their specific discipline, whether it be Engineering, Business, Humanities, or Natural Sciences. However,the scope extends beyond traditional teaching. The lecturer must:</w:t>
      </w:r>
    </w:p>
    <w:p>
      <w:pPr>
        <w:numPr>
          <w:ilvl w:val="0"/>
          <w:numId w:val="1001"/>
        </w:numPr>
        <w:pStyle w:val="Compact"/>
      </w:pPr>
      <w:r>
        <w:rPr>
          <w:bCs/>
          <w:b/>
        </w:rPr>
        <w:t xml:space="preserve">Curriculum Adaptation:</w:t>
      </w:r>
      <w:r>
        <w:t xml:space="preserve">Tailor global course materials to include case studies relevant to the Turkish and broader MENA (Middle East and North Africa) region.</w:t>
      </w:r>
    </w:p>
    <w:p>
      <w:pPr>
        <w:numPr>
          <w:ilvl w:val="0"/>
          <w:numId w:val="1001"/>
        </w:numPr>
        <w:pStyle w:val="Compact"/>
      </w:pPr>
      <w:r>
        <w:t xml:space="preserve">Research Integration:Encourage undergraduate research opportunities that address local challenges in</w:t>
      </w:r>
    </w:p>
    <w:p>
      <w:pPr>
        <w:numPr>
          <w:ilvl w:val="0"/>
          <w:numId w:val="1000"/>
        </w:numPr>
        <w:pStyle w:val="Compact"/>
      </w:pPr>
      <w:r>
        <w:t xml:space="preserve">Turkey Istanbul, such as urban planning, cross-cultural business dynamics, or regional history.</w:t>
      </w:r>
    </w:p>
    <w:p>
      <w:pPr>
        <w:numPr>
          <w:ilvl w:val="0"/>
          <w:numId w:val="1001"/>
        </w:numPr>
        <w:pStyle w:val="Compact"/>
      </w:pPr>
      <w:r>
        <w:t xml:space="preserve">Mentorship: Provide academic guidance to a diverse student body comprising locals, Turkish diaspora students, and international exchange students from Erasmus+ programs.</w:t>
      </w:r>
    </w:p>
    <w:bookmarkEnd w:id="22"/>
    <w:bookmarkStart w:id="23" w:name="cultural-competency"/>
    <w:p>
      <w:pPr>
        <w:pStyle w:val="Heading3"/>
      </w:pPr>
      <w:r>
        <w:t xml:space="preserve">3.2 Cultural Competency</w:t>
      </w:r>
    </w:p>
    <w:p>
      <w:pPr>
        <w:pStyle w:val="FirstParagraph"/>
      </w:pPr>
      <w:r>
        <w:t xml:space="preserve">In</w:t>
      </w:r>
      <w:r>
        <w:t xml:space="preserve"> </w:t>
      </w:r>
      <w:r>
        <w:rPr>
          <w:bCs/>
          <w:b/>
        </w:rPr>
        <w:t xml:space="preserve">Turkey Istanbul</w:t>
      </w:r>
      <w:r>
        <w:t xml:space="preserve">, cultural competency is as critical as subject matter expertise. A successful</w:t>
      </w:r>
      <w:r>
        <w:t xml:space="preserve"> </w:t>
      </w:r>
      <w:r>
        <w:rPr>
          <w:bCs/>
          <w:b/>
        </w:rPr>
        <w:t xml:space="preserve">University Lecturer</w:t>
      </w:r>
      <w:r>
        <w:t xml:space="preserve"> </w:t>
      </w:r>
      <w:r>
        <w:t xml:space="preserve">must navigate the intricate social fabric of a city where East meets West. This involves understanding local holidays, religious sensitivities, and communication styles which may differ significantly from Western academic norms.</w:t>
      </w:r>
    </w:p>
    <w:bookmarkEnd w:id="23"/>
    <w:bookmarkEnd w:id="24"/>
    <w:bookmarkStart w:id="27" w:name="strategic-importance-of-istanbul"/>
    <w:p>
      <w:pPr>
        <w:pStyle w:val="Heading2"/>
      </w:pPr>
      <w:r>
        <w:t xml:space="preserve">4.0 Strategic Importance of Istanbul</w:t>
      </w:r>
    </w:p>
    <w:bookmarkStart w:id="25" w:name="geographic-and-economic-hub"/>
    <w:p>
      <w:pPr>
        <w:pStyle w:val="Heading3"/>
      </w:pPr>
      <w:r>
        <w:t xml:space="preserve">4.1 Geographic and Economic Hub</w:t>
      </w:r>
    </w:p>
    <w:p>
      <w:pPr>
        <w:pStyle w:val="FirstParagraph"/>
      </w:pPr>
      <w:r>
        <w:t xml:space="preserve">Istanbul is Turkey’s largest city by population as well as its economic center. The presence of a</w:t>
      </w:r>
      <w:r>
        <w:t xml:space="preserve"> </w:t>
      </w:r>
      <w:r>
        <w:rPr>
          <w:bCs/>
          <w:b/>
        </w:rPr>
        <w:t xml:space="preserve">University Lecturer</w:t>
      </w:r>
      <w:r>
        <w:t xml:space="preserve"> </w:t>
      </w:r>
      <w:r>
        <w:t xml:space="preserve">in this hub allows for unparalleled industry connections with multinational corporations headquartered in the Levent, Maslak, and Etiler districts. This proximity offers unique opportunities for internships, guest lectures from industry leaders, and collaborative research projects that bridge academia and corporate practice.</w:t>
      </w:r>
    </w:p>
    <w:bookmarkEnd w:id="25"/>
    <w:bookmarkStart w:id="26" w:name="academic-exchange-hub"/>
    <w:p>
      <w:pPr>
        <w:pStyle w:val="Heading3"/>
      </w:pPr>
      <w:r>
        <w:t xml:space="preserve">4.2 Academic Exchange Hub</w:t>
      </w:r>
    </w:p>
    <w:p>
      <w:pPr>
        <w:pStyle w:val="FirstParagraph"/>
      </w:pPr>
      <w:r>
        <w:t xml:space="preserve">Istanbul has become a central node for international student mobility. The</w:t>
      </w:r>
      <w:r>
        <w:t xml:space="preserve"> </w:t>
      </w:r>
      <w:r>
        <w:rPr>
          <w:bCs/>
          <w:b/>
        </w:rPr>
        <w:t xml:space="preserve">University Lecturer</w:t>
      </w:r>
      <w:r>
        <w:t xml:space="preserve"> </w:t>
      </w:r>
      <w:r>
        <w:t xml:space="preserve">serves as the frontline representative of the university’s brand to these diverse groups. By fostering an inclusive classroom environment in</w:t>
      </w:r>
    </w:p>
    <w:p>
      <w:pPr>
        <w:pStyle w:val="BodyText"/>
      </w:pPr>
      <w:r>
        <w:t xml:space="preserve">Turkey Istanbul, institutions can enhance their global ranking and attractiveness to prospective students worldwide.</w:t>
      </w:r>
    </w:p>
    <w:bookmarkEnd w:id="26"/>
    <w:bookmarkEnd w:id="27"/>
    <w:bookmarkStart w:id="31" w:name="X8c485bf2398b5564c91d72d123e110ce24f126e"/>
    <w:p>
      <w:pPr>
        <w:pStyle w:val="Heading2"/>
      </w:pPr>
      <w:r>
        <w:t xml:space="preserve">5.0 Operational Challenges and Mitigation Strategies</w:t>
      </w:r>
    </w:p>
    <w:bookmarkStart w:id="28" w:name="regulatory-compliance"/>
    <w:p>
      <w:pPr>
        <w:pStyle w:val="Heading3"/>
      </w:pPr>
      <w:r>
        <w:t xml:space="preserve">5.1 Regulatory Compliance</w:t>
      </w:r>
    </w:p>
    <w:p>
      <w:pPr>
        <w:pStyle w:val="FirstParagraph"/>
      </w:pPr>
      <w:r>
        <w:t xml:space="preserve">All academic staff in Turkey must adhere to the regulations set by the Council of Higher Education (YÖK). For a</w:t>
      </w:r>
      <w:r>
        <w:t xml:space="preserve"> </w:t>
      </w:r>
      <w:r>
        <w:rPr>
          <w:bCs/>
          <w:b/>
        </w:rPr>
        <w:t xml:space="preserve">University Lecturer</w:t>
      </w:r>
      <w:r>
        <w:t xml:space="preserve"> </w:t>
      </w:r>
      <w:r>
        <w:t xml:space="preserve">, this means strict adherence to national curriculum guidelines for certain core courses, even in English-medium programs. Mitigation involves rigorous onboarding processes that educate new hires on YÖK requirements and provide legal support regarding employment contracts and visa regulations.</w:t>
      </w:r>
    </w:p>
    <w:bookmarkEnd w:id="28"/>
    <w:bookmarkStart w:id="29" w:name="language-and-communication"/>
    <w:p>
      <w:pPr>
        <w:pStyle w:val="Heading3"/>
      </w:pPr>
      <w:r>
        <w:t xml:space="preserve">5.2 Language and Communication</w:t>
      </w:r>
    </w:p>
    <w:p>
      <w:pPr>
        <w:pStyle w:val="FirstParagraph"/>
      </w:pPr>
      <w:r>
        <w:t xml:space="preserve">While many programs in</w:t>
      </w:r>
      <w:r>
        <w:t xml:space="preserve"> </w:t>
      </w:r>
      <w:r>
        <w:rPr>
          <w:bCs/>
          <w:b/>
        </w:rPr>
        <w:t xml:space="preserve">Turkey Istanbul</w:t>
      </w:r>
      <w:r>
        <w:t xml:space="preserve"> </w:t>
      </w:r>
      <w:r>
        <w:t xml:space="preserve">are taught in English, administrative processes often occur in Turkish. Lecturers may face bureaucratic hurdles if they do not have basic proficiency or adequate support staff. To mitigate this, universities should provide language support services and dedicated administrative assistants for international faculty.</w:t>
      </w:r>
    </w:p>
    <w:bookmarkEnd w:id="29"/>
    <w:bookmarkStart w:id="30" w:name="resource-allocation"/>
    <w:p>
      <w:pPr>
        <w:pStyle w:val="Heading3"/>
      </w:pPr>
      <w:r>
        <w:t xml:space="preserve">5.3 Resource Allocation</w:t>
      </w:r>
    </w:p>
    <w:p>
      <w:pPr>
        <w:pStyle w:val="FirstParagraph"/>
      </w:pPr>
      <w:r>
        <w:t xml:space="preserve">To perform effectively,</w:t>
      </w:r>
      <w:r>
        <w:t xml:space="preserve"> </w:t>
      </w:r>
      <w:r>
        <w:rPr>
          <w:bCs/>
          <w:b/>
        </w:rPr>
        <w:t xml:space="preserve">University Lecturers</w:t>
      </w:r>
      <w:r>
        <w:t xml:space="preserve"> </w:t>
      </w:r>
      <w:r>
        <w:t xml:space="preserve">require access to modern libraries, digital databases (such as Web of Science and Scopus), and research funding. Investing in these resources is crucial to retaining top talent in a competitive market where candidates may choose between institutions in Istanbul, London, or New York.</w:t>
      </w:r>
    </w:p>
    <w:bookmarkEnd w:id="30"/>
    <w:bookmarkEnd w:id="31"/>
    <w:bookmarkStart w:id="32" w:name="recommendations-for-implementation"/>
    <w:p>
      <w:pPr>
        <w:pStyle w:val="Heading2"/>
      </w:pPr>
      <w:r>
        <w:t xml:space="preserve">6.0 Recommendations for Implementation</w:t>
      </w:r>
    </w:p>
    <w:p>
      <w:pPr>
        <w:numPr>
          <w:ilvl w:val="0"/>
          <w:numId w:val="1002"/>
        </w:numPr>
        <w:pStyle w:val="Compact"/>
      </w:pPr>
      <w:r>
        <w:rPr>
          <w:bCs/>
          <w:b/>
        </w:rPr>
        <w:t xml:space="preserve">Comprehensive Onboarding:</w:t>
      </w:r>
      <w:r>
        <w:t xml:space="preserve">Develop a specialized orientation program for</w:t>
      </w:r>
      <w:r>
        <w:t xml:space="preserve"> </w:t>
      </w:r>
      <w:r>
        <w:rPr>
          <w:bCs/>
          <w:b/>
        </w:rPr>
        <w:t xml:space="preserve">University Lecturers</w:t>
      </w:r>
      <w:r>
        <w:t xml:space="preserve"> </w:t>
      </w:r>
      <w:r>
        <w:t xml:space="preserve">in</w:t>
      </w:r>
    </w:p>
    <w:p>
      <w:pPr>
        <w:numPr>
          <w:ilvl w:val="0"/>
          <w:numId w:val="1000"/>
        </w:numPr>
        <w:pStyle w:val="Compact"/>
      </w:pPr>
      <w:r>
        <w:t xml:space="preserve">Turkey Istanbul, including cultural immersion workshops and legal briefings on Turkish labor law.</w:t>
      </w:r>
    </w:p>
    <w:p>
      <w:pPr>
        <w:numPr>
          <w:ilvl w:val="0"/>
          <w:numId w:val="1002"/>
        </w:numPr>
        <w:pStyle w:val="Compact"/>
      </w:pPr>
      <w:r>
        <w:rPr>
          <w:bCs/>
          <w:b/>
        </w:rPr>
        <w:t xml:space="preserve">Cultural Integration Initiatives:</w:t>
      </w:r>
      <w:r>
        <w:t xml:space="preserve">Create mentorship programs pairing new international lecturers with local senior faculty to facilitate knowledge transfer and social integration.</w:t>
      </w:r>
    </w:p>
    <w:p>
      <w:pPr>
        <w:numPr>
          <w:ilvl w:val="0"/>
          <w:numId w:val="1002"/>
        </w:numPr>
        <w:pStyle w:val="Compact"/>
      </w:pPr>
      <w:r>
        <w:t xml:space="preserve">Research Support Grants: Establish seed funding grants specifically for research projects that explore Turkey-Istanbul specific themes, encouraging publications in high-impact journals.</w:t>
      </w:r>
    </w:p>
    <w:p>
      <w:pPr>
        <w:numPr>
          <w:ilvl w:val="0"/>
          <w:numId w:val="1002"/>
        </w:numPr>
        <w:pStyle w:val="Compact"/>
      </w:pPr>
      <w:r>
        <w:t xml:space="preserve">Community Engagement:Encourage</w:t>
      </w:r>
      <w:r>
        <w:t xml:space="preserve"> </w:t>
      </w:r>
      <w:r>
        <w:rPr>
          <w:bCs/>
          <w:b/>
        </w:rPr>
        <w:t xml:space="preserve">University Lecturers</w:t>
      </w:r>
      <w:r>
        <w:t xml:space="preserve"> </w:t>
      </w:r>
      <w:r>
        <w:t xml:space="preserve">to participate in local community events, reinforcing the university’s role as a civic partner within the Istanbul metropolis.</w:t>
      </w:r>
    </w:p>
    <w:bookmarkEnd w:id="32"/>
    <w:bookmarkStart w:id="33" w:name="conclusion"/>
    <w:p>
      <w:pPr>
        <w:pStyle w:val="Heading2"/>
      </w:pPr>
      <w:r>
        <w:t xml:space="preserve">7.0 Conclusion</w:t>
      </w:r>
    </w:p>
    <w:p>
      <w:pPr>
        <w:pStyle w:val="FirstParagraph"/>
      </w:pPr>
      <w:r>
        <w:t xml:space="preserve">The appointment of a</w:t>
      </w:r>
      <w:r>
        <w:t xml:space="preserve"> </w:t>
      </w:r>
      <w:r>
        <w:rPr>
          <w:bCs/>
          <w:b/>
        </w:rPr>
        <w:t xml:space="preserve">University Lecturer</w:t>
      </w:r>
      <w:r>
        <w:t xml:space="preserve"> </w:t>
      </w:r>
      <w:r>
        <w:t xml:space="preserve">in</w:t>
      </w:r>
    </w:p>
    <w:p>
      <w:pPr>
        <w:pStyle w:val="BodyText"/>
      </w:pPr>
      <w:r>
        <w:t xml:space="preserve">Turkey Istanbulis not merely an academic hiring decision; it is a strategic investment in the institution’s global connectivity and local relevance. By understanding the unique dynamics of this role, respecting the cultural depth of Istanbul, and navigating the regulatory landscape with precision, universities can create an enriching environment for both educators and students.</w:t>
      </w:r>
    </w:p>
    <w:p>
      <w:pPr>
        <w:pStyle w:val="BodyText"/>
      </w:pPr>
      <w:r>
        <w:t xml:space="preserve">This project report underscores that success depends on a holistic approach—one that values academic excellence while embracing the vibrant, complex reality of teaching and living in one of the world’s most fascinating cities. Through proper support structures and strategic planning, institutions in</w:t>
      </w:r>
    </w:p>
    <w:p>
      <w:pPr>
        <w:pStyle w:val="BodyText"/>
      </w:pPr>
      <w:r>
        <w:t xml:space="preserve">Turkey Istanbul can leverage the</w:t>
      </w:r>
      <w:r>
        <w:t xml:space="preserve"> </w:t>
      </w:r>
      <w:r>
        <w:rPr>
          <w:bCs/>
          <w:b/>
        </w:rPr>
        <w:t xml:space="preserve">University Lecturer</w:t>
      </w:r>
      <w:r>
        <w:t xml:space="preserve"> </w:t>
      </w:r>
      <w:r>
        <w:t xml:space="preserve">role to enhance their reputation, foster international collaboration, and contribute significantly to knowledge production.</w:t>
      </w:r>
    </w:p>
    <w:p>
      <w:pPr>
        <w:pStyle w:val="BodyText"/>
      </w:pPr>
      <w:r>
        <w:t xml:space="preserve">© 2023 Academic Project Management Office. All rights reserved.</w:t>
      </w:r>
      <w:r>
        <w:br/>
      </w:r>
      <w:r>
        <w:t xml:space="preserve">This document is intended for internal strategic planning purposes only.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Role in Turkey Istanbul</dc:title>
  <dc:creator/>
  <dc:language>en</dc:language>
  <cp:keywords/>
  <dcterms:created xsi:type="dcterms:W3CDTF">2026-07-29T14:02:58Z</dcterms:created>
  <dcterms:modified xsi:type="dcterms:W3CDTF">2026-07-29T14:02:58Z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