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64cb21ad9dc9fa53a5f13f9cfbb65e7da191b24"/>
    <w:p>
      <w:pPr>
        <w:pStyle w:val="Heading1"/>
      </w:pPr>
      <w:r>
        <w:t xml:space="preserve">Project Report Strategic Framework for University Lecturer Recruitment in United Kingdom Birmingham</w:t>
      </w:r>
    </w:p>
    <w:p>
      <w:pPr>
        <w:pStyle w:val="FirstParagraph"/>
      </w:pPr>
      <w:r>
        <w:rPr>
          <w:bCs/>
          <w:b/>
        </w:rPr>
        <w:t xml:space="preserve">Date:</w:t>
      </w:r>
      <w:r>
        <w:t xml:space="preserve"> </w:t>
      </w:r>
      <w:r>
        <w:t xml:space="preserve">October 26, 2023</w:t>
      </w:r>
      <w:r>
        <w:br/>
      </w:r>
      <w:r>
        <w:rPr>
          <w:bCs/>
          <w:b/>
        </w:rPr>
        <w:t xml:space="preserve">To:</w:t>
      </w:r>
    </w:p>
    <w:p>
      <w:pPr>
        <w:pStyle w:val="BodyText"/>
      </w:pPr>
      <w:r>
        <w:br/>
      </w:r>
    </w:p>
    <w:p>
      <w:pPr>
        <w:pStyle w:val="BodyText"/>
      </w:pPr>
      <w:r>
        <w:rPr>
          <w:iCs/>
          <w:i/>
        </w:rPr>
        <w:t xml:space="preserve">This comprehensive Project Report outlines the strategic initiatives required to establish, recruit and sustain a high-quality teaching faculty of University Lecturer within the dynamic academic landscape of United Kingdom Birmingham. The document details operational requirements, contextual considerations specific to Birmingham, and the broader implications for higher education institutions operating in this region.</w:t>
      </w:r>
    </w:p>
    <w:bookmarkStart w:id="20" w:name="executive-summary"/>
    <w:p>
      <w:pPr>
        <w:pStyle w:val="Heading2"/>
      </w:pPr>
      <w:r>
        <w:t xml:space="preserve">1. Executive Summary</w:t>
      </w:r>
    </w:p>
    <w:p>
      <w:pPr>
        <w:pStyle w:val="FirstParagraph"/>
      </w:pPr>
      <w:r>
        <w:t xml:space="preserve">The primary objective of this project is to define the scope, methodology for recruitment and onboarding processes for new</w:t>
      </w:r>
      <w:r>
        <w:t xml:space="preserve"> </w:t>
      </w:r>
      <w:r>
        <w:rPr>
          <w:bCs/>
          <w:b/>
        </w:rPr>
        <w:t xml:space="preserve">University Lecturer</w:t>
      </w:r>
      <w:r>
        <w:t xml:space="preserve">Birmingham, a key metropolitan area in the</w:t>
      </w:r>
      <w:r>
        <w:t xml:space="preserve"> </w:t>
      </w:r>
      <w:r>
        <w:rPr>
          <w:bCs/>
          <w:b/>
        </w:rPr>
        <w:t xml:space="preserve">United Kingdom</w:t>
      </w:r>
      <w:r>
        <w:t xml:space="preserve">. As a hub for both traditional research excellence and modern vocational training Birmingham presents unique challenges opportunities that must be addressed through targeted HR strategies.</w:t>
      </w:r>
    </w:p>
    <w:p>
      <w:pPr>
        <w:pStyle w:val="BodyText"/>
      </w:pPr>
      <w:r>
        <w:br/>
      </w:r>
    </w:p>
    <w:p>
      <w:pPr>
        <w:pStyle w:val="BodyText"/>
      </w:pPr>
      <w:r>
        <w:t xml:space="preserve">This report argues that successful implementation requires not only adherence to national academic standards set by the UK government but also local adaptation to meet the diverse needs of</w:t>
      </w:r>
      <w:r>
        <w:t xml:space="preserve"> </w:t>
      </w:r>
      <w:r>
        <w:rPr>
          <w:bCs/>
          <w:b/>
        </w:rPr>
        <w:t xml:space="preserve">Birmingham</w:t>
      </w:r>
      <w:r>
        <w:t xml:space="preserve">’s multicultural student population. By focusing on inclusive hiring practices and robust professional development, institutions can enhance their global reputation while serving local community needs.</w:t>
      </w:r>
    </w:p>
    <w:bookmarkEnd w:id="20"/>
    <w:bookmarkStart w:id="21" w:name="Xafc60fbdc9887256c28e3896ca12eaa3ab6e514"/>
    <w:p>
      <w:pPr>
        <w:pStyle w:val="Heading2"/>
      </w:pPr>
      <w:r>
        <w:t xml:space="preserve">2. Contextual Background: The Academic Landscape in United Kingdom Birmingham</w:t>
      </w:r>
    </w:p>
    <w:p>
      <w:pPr>
        <w:pStyle w:val="FirstParagraph"/>
      </w:pPr>
      <w:r>
        <w:br/>
      </w:r>
    </w:p>
    <w:p>
      <w:pPr>
        <w:pStyle w:val="BodyText"/>
      </w:pPr>
      <w:r>
        <w:rPr>
          <w:bCs/>
          <w:b/>
        </w:rPr>
        <w:t xml:space="preserve">Birmingham</w:t>
      </w:r>
      <w:r>
        <w:t xml:space="preserve">, often referred to as the "Second City of</w:t>
      </w:r>
      <w:r>
        <w:t xml:space="preserve"> </w:t>
      </w:r>
      <w:r>
        <w:rPr>
          <w:bCs/>
          <w:b/>
        </w:rPr>
        <w:t xml:space="preserve">United Kingdom</w:t>
      </w:r>
      <w:r>
        <w:t xml:space="preserve">", has emerged as a critical center for higher education in Europe. The city is home to prestigious institutions such as the University of Birmingham, Aston University, and Birmingham City University. These institutions collectively attract thousands of domestic and international students annually.</w:t>
      </w:r>
    </w:p>
    <w:p>
      <w:pPr>
        <w:pStyle w:val="BodyText"/>
      </w:pPr>
      <w:r>
        <w:br/>
      </w:r>
    </w:p>
    <w:p>
      <w:pPr>
        <w:pStyle w:val="BodyText"/>
      </w:pPr>
      <w:r>
        <w:t xml:space="preserve">The demand for qualified</w:t>
      </w:r>
      <w:r>
        <w:t xml:space="preserve"> </w:t>
      </w:r>
      <w:r>
        <w:rPr>
          <w:bCs/>
          <w:b/>
        </w:rPr>
        <w:t xml:space="preserve">University Lecturer</w:t>
      </w:r>
      <w:r>
        <w:t xml:space="preserve"> </w:t>
      </w:r>
      <w:r>
        <w:t xml:space="preserve">staff has increased significantly due to expanding enrollment rates driven by global partnerships and digital learning advancements. Furthermore the post-Brexit regulatory environment in the</w:t>
      </w:r>
      <w:r>
        <w:t xml:space="preserve"> </w:t>
      </w:r>
      <w:r>
        <w:rPr>
          <w:bCs/>
          <w:b/>
        </w:rPr>
        <w:t xml:space="preserve">United Kingdom</w:t>
      </w:r>
      <w:r>
        <w:t xml:space="preserve"> </w:t>
      </w:r>
      <w:r>
        <w:t xml:space="preserve">has necessitated a re-evaluation of international recruitment strategies making local talent pools in</w:t>
      </w:r>
      <w:r>
        <w:t xml:space="preserve"> </w:t>
      </w:r>
      <w:r>
        <w:rPr>
          <w:bCs/>
          <w:b/>
        </w:rPr>
        <w:t xml:space="preserve">Birmingham</w:t>
      </w:r>
      <w:r>
        <w:t xml:space="preserve"> </w:t>
      </w:r>
      <w:r>
        <w:t xml:space="preserve">increasingly important.</w:t>
      </w:r>
    </w:p>
    <w:p>
      <w:pPr>
        <w:pStyle w:val="BodyText"/>
      </w:pPr>
      <w:r>
        <w:br/>
      </w:r>
    </w:p>
    <w:p>
      <w:pPr>
        <w:pStyle w:val="BodyText"/>
      </w:pPr>
      <w:r>
        <w:t xml:space="preserve">The economic backdrop of Birmingham, characterized by ongoing urban regeneration projects such as the HS2 rail hub and the Digbeth Cultural Quarter development, creates an vibrant ecosystem for innovation. This context influences curriculum design necessitating</w:t>
      </w:r>
      <w:r>
        <w:t xml:space="preserve"> </w:t>
      </w:r>
      <w:r>
        <w:rPr>
          <w:bCs/>
          <w:b/>
        </w:rPr>
        <w:t xml:space="preserve">University Lecturer</w:t>
      </w:r>
      <w:r>
        <w:t xml:space="preserve">s who are not only academically rigorous but also attuned to industry trends relevant to the West Midlands region.</w:t>
      </w:r>
    </w:p>
    <w:bookmarkEnd w:id="21"/>
    <w:bookmarkStart w:id="22" w:name="X1912501549ee7ec500e7e78934b36995c091e30"/>
    <w:p>
      <w:pPr>
        <w:pStyle w:val="Heading2"/>
      </w:pPr>
      <w:r>
        <w:t xml:space="preserve">3. Role Definition and Core Responsibilities of the University Lecturer</w:t>
      </w:r>
    </w:p>
    <w:p>
      <w:pPr>
        <w:pStyle w:val="FirstParagraph"/>
      </w:pPr>
      <w:r>
        <w:br/>
      </w:r>
    </w:p>
    <w:p>
      <w:pPr>
        <w:pStyle w:val="BodyText"/>
      </w:pPr>
      <w:r>
        <w:t xml:space="preserve">A critical component of this project involves clearly defining the role of a</w:t>
      </w:r>
      <w:r>
        <w:t xml:space="preserve"> </w:t>
      </w:r>
      <w:r>
        <w:rPr>
          <w:bCs/>
          <w:b/>
        </w:rPr>
        <w:t xml:space="preserve">University Lecturer</w:t>
      </w:r>
      <w:r>
        <w:t xml:space="preserve">. In line with guidelines from Advance HE (Advance HE) in the</w:t>
      </w:r>
    </w:p>
    <w:p>
      <w:pPr>
        <w:pStyle w:val="BodyText"/>
      </w:pPr>
      <w:r>
        <w:t xml:space="preserve">United Kingdom, these roles extend beyond traditional teaching duties.</w:t>
      </w:r>
    </w:p>
    <w:p>
      <w:pPr>
        <w:pStyle w:val="BodyText"/>
      </w:pPr>
      <w:r>
        <w:br/>
      </w:r>
    </w:p>
    <w:p>
      <w:pPr>
        <w:numPr>
          <w:ilvl w:val="0"/>
          <w:numId w:val="1001"/>
        </w:numPr>
        <w:pStyle w:val="Compact"/>
      </w:pPr>
      <w:r>
        <w:rPr>
          <w:bCs/>
          <w:b/>
        </w:rPr>
        <w:t xml:space="preserve">Pedagogical Excellence:</w:t>
      </w:r>
      <w:r>
        <w:t xml:space="preserve"> </w:t>
      </w:r>
      <w:r>
        <w:t xml:space="preserve">Delivery of high-quality lectures seminars and tutorials. The</w:t>
      </w:r>
      <w:r>
        <w:t xml:space="preserve"> </w:t>
      </w:r>
      <w:r>
        <w:rPr>
          <w:bCs/>
          <w:b/>
        </w:rPr>
        <w:t xml:space="preserve">University LecturerBirmingham</w:t>
      </w:r>
      <w:r>
        <w:t xml:space="preserve">'s diverse student body.</w:t>
      </w:r>
    </w:p>
    <w:p>
      <w:pPr>
        <w:numPr>
          <w:ilvl w:val="0"/>
          <w:numId w:val="1001"/>
        </w:numPr>
        <w:pStyle w:val="Compact"/>
      </w:pPr>
      <w:r>
        <w:rPr>
          <w:bCs/>
          <w:b/>
        </w:rPr>
        <w:t xml:space="preserve">Scholarly Research &amp; Development:</w:t>
      </w:r>
    </w:p>
    <w:p>
      <w:pPr>
        <w:numPr>
          <w:ilvl w:val="0"/>
          <w:numId w:val="1001"/>
        </w:numPr>
        <w:pStyle w:val="Compact"/>
      </w:pPr>
      <w:r>
        <w:rPr>
          <w:bCs/>
          <w:b/>
        </w:rPr>
        <w:t xml:space="preserve">Student Support &amp; Mentoring:Birmingham</w:t>
      </w:r>
      <w:r>
        <w:t xml:space="preserve">'s high population density this aspect requires significant time investment.</w:t>
      </w:r>
    </w:p>
    <w:p>
      <w:pPr>
        <w:numPr>
          <w:ilvl w:val="0"/>
          <w:numId w:val="1001"/>
        </w:numPr>
        <w:pStyle w:val="Compact"/>
      </w:pPr>
      <w:r>
        <w:rPr>
          <w:bCs/>
          <w:b/>
        </w:rPr>
        <w:t xml:space="preserve">Administrative Duties:United Kingdom</w:t>
      </w:r>
      <w:r>
        <w:t xml:space="preserve">.</w:t>
      </w:r>
    </w:p>
    <w:p>
      <w:pPr>
        <w:pStyle w:val="FirstParagraph"/>
      </w:pPr>
      <w:r>
        <w:br/>
      </w:r>
    </w:p>
    <w:bookmarkEnd w:id="22"/>
    <w:bookmarkStart w:id="23" w:name="X3952fea8fabaff76fed2f4911fbff99cce5c0e0"/>
    <w:p>
      <w:pPr>
        <w:pStyle w:val="Heading2"/>
      </w:pPr>
      <w:r>
        <w:t xml:space="preserve">4. Recruitment Strategy and Selection Criteria</w:t>
      </w:r>
    </w:p>
    <w:p>
      <w:pPr>
        <w:pStyle w:val="FirstParagraph"/>
      </w:pPr>
      <w:r>
        <w:br/>
      </w:r>
    </w:p>
    <w:p>
      <w:pPr>
        <w:pStyle w:val="BodyText"/>
      </w:pPr>
      <w:r>
        <w:t xml:space="preserve">To attract top-tier talent the project proposes a multi-phase recruitment strategy tailored to</w:t>
      </w:r>
    </w:p>
    <w:p>
      <w:pPr>
        <w:pStyle w:val="BodyText"/>
      </w:pPr>
      <w:r>
        <w:t xml:space="preserve">Birmingham’s specific market conditions.</w:t>
      </w:r>
    </w:p>
    <w:p>
      <w:pPr>
        <w:pStyle w:val="BodyText"/>
      </w:pPr>
      <w:r>
        <w:br/>
      </w:r>
    </w:p>
    <w:p>
      <w:pPr>
        <w:numPr>
          <w:ilvl w:val="0"/>
          <w:numId w:val="1002"/>
        </w:numPr>
        <w:pStyle w:val="Compact"/>
      </w:pPr>
      <w:r>
        <w:t xml:space="preserve">Digital Presence Optimization: Utilizing platforms like Jobs.ac.uk and LinkedIn to reach candidates across the</w:t>
      </w:r>
    </w:p>
    <w:p>
      <w:pPr>
        <w:numPr>
          <w:ilvl w:val="0"/>
          <w:numId w:val="1000"/>
        </w:numPr>
        <w:pStyle w:val="Compact"/>
      </w:pPr>
      <w:r>
        <w:t xml:space="preserve">United Kingdom. Listings must highlight benefits unique to living and working in Birmingham such as affordable housing options relative other major UK cities.</w:t>
      </w:r>
    </w:p>
    <w:p>
      <w:pPr>
        <w:numPr>
          <w:ilvl w:val="0"/>
          <w:numId w:val="1002"/>
        </w:numPr>
        <w:pStyle w:val="Compact"/>
      </w:pPr>
      <w:r>
        <w:rPr>
          <w:bCs/>
          <w:b/>
        </w:rPr>
        <w:t xml:space="preserve">Inclusive Hiring Practices:Birmingham</w:t>
      </w:r>
    </w:p>
    <w:p>
      <w:pPr>
        <w:numPr>
          <w:ilvl w:val="0"/>
          <w:numId w:val="1002"/>
        </w:numPr>
        <w:pStyle w:val="Compact"/>
      </w:pPr>
      <w:r>
        <w:rPr>
          <w:bCs/>
          <w:b/>
        </w:rPr>
        <w:t xml:space="preserve">Academic Rigour Assessment:University Lecturer</w:t>
      </w:r>
    </w:p>
    <w:p>
      <w:pPr>
        <w:numPr>
          <w:ilvl w:val="0"/>
          <w:numId w:val="1002"/>
        </w:numPr>
        <w:pStyle w:val="Compact"/>
      </w:pPr>
      <w:r>
        <w:t xml:space="preserve">Local Engagement:</w:t>
      </w:r>
    </w:p>
    <w:p>
      <w:pPr>
        <w:pStyle w:val="FirstParagraph"/>
      </w:pPr>
      <w:r>
        <w:br/>
      </w:r>
    </w:p>
    <w:bookmarkEnd w:id="23"/>
    <w:bookmarkStart w:id="24" w:name="challenges-and-mitigation-strategies"/>
    <w:p>
      <w:pPr>
        <w:pStyle w:val="Heading2"/>
      </w:pPr>
      <w:r>
        <w:t xml:space="preserve">5. Challenges and Mitigation Strategies</w:t>
      </w:r>
    </w:p>
    <w:p>
      <w:pPr>
        <w:pStyle w:val="FirstParagraph"/>
      </w:pPr>
      <w:r>
        <w:br/>
      </w:r>
    </w:p>
    <w:p>
      <w:pPr>
        <w:pStyle w:val="BodyText"/>
      </w:pPr>
      <w:r>
        <w:t xml:space="preserve">The project identifies several potential hurdles associated with establishing a</w:t>
      </w:r>
      <w:r>
        <w:t xml:space="preserve"> </w:t>
      </w:r>
      <w:r>
        <w:rPr>
          <w:bCs/>
          <w:b/>
        </w:rPr>
        <w:t xml:space="preserve">University Lecturer</w:t>
      </w:r>
      <w:r>
        <w:t xml:space="preserve"> </w:t>
      </w:r>
      <w:r>
        <w:t xml:space="preserve">presence in</w:t>
      </w:r>
    </w:p>
    <w:p>
      <w:pPr>
        <w:pStyle w:val="BodyText"/>
      </w:pPr>
      <w:r>
        <w:t xml:space="preserve">Birmingham.</w:t>
      </w:r>
    </w:p>
    <w:p>
      <w:pPr>
        <w:pStyle w:val="BodyText"/>
      </w:pPr>
      <w:r>
        <w:br/>
      </w:r>
    </w:p>
    <w:p>
      <w:pPr>
        <w:numPr>
          <w:ilvl w:val="0"/>
          <w:numId w:val="1003"/>
        </w:numPr>
        <w:pStyle w:val="Compact"/>
      </w:pPr>
      <w:r>
        <w:rPr>
          <w:bCs/>
          <w:b/>
        </w:rPr>
        <w:t xml:space="preserve">Funding Constraints:United Kingdom</w:t>
      </w:r>
    </w:p>
    <w:p>
      <w:pPr>
        <w:numPr>
          <w:ilvl w:val="0"/>
          <w:numId w:val="1003"/>
        </w:numPr>
        <w:pStyle w:val="Compact"/>
      </w:pPr>
      <w:r>
        <w:rPr>
          <w:bCs/>
          <w:b/>
        </w:rPr>
        <w:t xml:space="preserve">Retention Risks:</w:t>
      </w:r>
    </w:p>
    <w:p>
      <w:pPr>
        <w:numPr>
          <w:ilvl w:val="0"/>
          <w:numId w:val="1003"/>
        </w:numPr>
        <w:pStyle w:val="Compact"/>
      </w:pPr>
      <w:r>
        <w:t xml:space="preserve">Bureaucratic Complexity:University Lecturer</w:t>
      </w:r>
    </w:p>
    <w:p>
      <w:pPr>
        <w:pStyle w:val="FirstParagraph"/>
      </w:pPr>
      <w:r>
        <w:br/>
      </w:r>
    </w:p>
    <w:bookmarkEnd w:id="24"/>
    <w:bookmarkStart w:id="25" w:name="implementation-timeline"/>
    <w:p>
      <w:pPr>
        <w:pStyle w:val="Heading2"/>
      </w:pPr>
      <w:r>
        <w:t xml:space="preserve">6. Implementation Timeline</w:t>
      </w:r>
    </w:p>
    <w:p>
      <w:pPr>
        <w:pStyle w:val="FirstParagraph"/>
      </w:pPr>
      <w:r>
        <w:br/>
      </w:r>
    </w:p>
    <w:p>
      <w:pPr>
        <w:pStyle w:val="BodyText"/>
      </w:pPr>
      <w:r>
        <w:t xml:space="preserve">Phase</w:t>
      </w:r>
    </w:p>
    <w:p>
      <w:pPr>
        <w:pStyle w:val="BodyText"/>
      </w:pPr>
      <w:r>
        <w:t xml:space="preserve">Action Items</w:t>
      </w:r>
    </w:p>
    <w:p>
      <w:pPr>
        <w:pStyle w:val="BodyText"/>
      </w:pPr>
      <w:r>
        <w:t xml:space="preserve">Q1 2024</w:t>
      </w:r>
    </w:p>
    <w:p>
      <w:pPr>
        <w:pStyle w:val="BodyText"/>
      </w:pPr>
      <w:r>
        <w:t xml:space="preserve">Needs assessment Job description finalization Launch advertisement campaign in Birmingham and wider UK.</w:t>
      </w:r>
    </w:p>
    <w:p>
      <w:pPr>
        <w:pStyle w:val="BodyText"/>
      </w:pPr>
      <w:r>
        <w:t xml:space="preserve">Q2 2024</w:t>
      </w:r>
    </w:p>
    <w:p>
      <w:pPr>
        <w:pStyle w:val="BodyText"/>
      </w:pPr>
      <w:r>
        <w:t xml:space="preserve">Application review Panel interviews Teaching trials Offer extensions issued.</w:t>
      </w:r>
    </w:p>
    <w:p>
      <w:pPr>
        <w:pStyle w:val="BodyText"/>
      </w:pPr>
      <w:r>
        <w:t xml:space="preserve">Q3 2024</w:t>
      </w:r>
    </w:p>
    <w:p>
      <w:pPr>
        <w:pStyle w:val="BodyText"/>
      </w:pPr>
      <w:r>
        <w:t xml:space="preserve">Contract signing Visa processing (if applicable) Induction program setup in Birmingham.</w:t>
      </w:r>
    </w:p>
    <w:p>
      <w:pPr>
        <w:pStyle w:val="BodyText"/>
      </w:pPr>
      <w:r>
        <w:t xml:space="preserve">Q4 2024</w:t>
      </w:r>
    </w:p>
    <w:p>
      <w:pPr>
        <w:pStyle w:val="BodyText"/>
      </w:pPr>
      <w:r>
        <w:t xml:space="preserve">Onboarding completion First semester teaching delivery Initial performance reviews.</w:t>
      </w:r>
    </w:p>
    <w:p>
      <w:pPr>
        <w:pStyle w:val="BodyText"/>
      </w:pPr>
      <w:r>
        <w:br/>
      </w:r>
    </w:p>
    <w:bookmarkEnd w:id="25"/>
    <w:bookmarkStart w:id="26" w:name="budgetary-considerations"/>
    <w:p>
      <w:pPr>
        <w:pStyle w:val="Heading2"/>
      </w:pPr>
      <w:r>
        <w:t xml:space="preserve">7. Budgetary Considerations</w:t>
      </w:r>
    </w:p>
    <w:p>
      <w:pPr>
        <w:pStyle w:val="FirstParagraph"/>
      </w:pPr>
      <w:r>
        <w:br/>
      </w:r>
    </w:p>
    <w:p>
      <w:pPr>
        <w:pStyle w:val="BodyText"/>
      </w:pPr>
      <w:r>
        <w:t xml:space="preserve">The financial framework for this project includes salary expenditures based on UK national pay scales (e.g., Agenda for Change or specific university pay bands). Additional costs cover relocation allowances advertising fees training workshops and administrative overheads. It is estimated that investing in comprehensive support systems yields higher retention rates reducing long-term recruitment costs.</w:t>
      </w:r>
    </w:p>
    <w:p>
      <w:pPr>
        <w:pStyle w:val="BodyText"/>
      </w:pPr>
      <w:r>
        <w:br/>
      </w:r>
    </w:p>
    <w:p>
      <w:pPr>
        <w:pStyle w:val="BodyText"/>
      </w:pPr>
      <w:r>
        <w:t xml:space="preserve">Furthermore leveraging local grants available from Birmingham City Council or regional growth funds can offset some expenses related to community engagement projects led by new</w:t>
      </w:r>
      <w:r>
        <w:t xml:space="preserve"> </w:t>
      </w:r>
      <w:r>
        <w:rPr>
          <w:bCs/>
          <w:b/>
        </w:rPr>
        <w:t xml:space="preserve">University Lecturer</w:t>
      </w:r>
      <w:r>
        <w:t xml:space="preserve">s.</w:t>
      </w:r>
    </w:p>
    <w:bookmarkEnd w:id="26"/>
    <w:bookmarkStart w:id="27" w:name="conclusion-and-recommendations"/>
    <w:p>
      <w:pPr>
        <w:pStyle w:val="Heading2"/>
      </w:pPr>
      <w:r>
        <w:t xml:space="preserve">8. Conclusion and Recommendations</w:t>
      </w:r>
    </w:p>
    <w:p>
      <w:pPr>
        <w:pStyle w:val="FirstParagraph"/>
      </w:pPr>
      <w:r>
        <w:br/>
      </w:r>
      <w:r>
        <w:br/>
      </w:r>
      <w:r>
        <w:br/>
      </w:r>
      <w:r>
        <w:t xml:space="preserve">The establishment of a robust</w:t>
      </w:r>
      <w:r>
        <w:t xml:space="preserve"> </w:t>
      </w:r>
      <w:r>
        <w:rPr>
          <w:bCs/>
          <w:b/>
        </w:rPr>
        <w:t xml:space="preserve">University LecturerBirminghamUnited Kingdom</w:t>
      </w:r>
      <w:r>
        <w:t xml:space="preserve">. By adopting the strategies outlined in this report including inclusive recruitment rigorous selection processes and ongoing professional development institutions can create sustainable academic environments. The unique characteristics of Birmingham offer fertile ground for innovation collaboration with local industries and engagement with diverse communities.</w:t>
      </w:r>
    </w:p>
    <w:p>
      <w:pPr>
        <w:pStyle w:val="BodyText"/>
      </w:pPr>
      <w:r>
        <w:br/>
      </w:r>
    </w:p>
    <w:p>
      <w:pPr>
        <w:pStyle w:val="BodyText"/>
      </w:pPr>
      <w:r>
        <w:t xml:space="preserve">We recommend immediate approval of the proposed budget allocation to commence Phase 1 activities. Continuous monitoring against key performance indicators such as student satisfaction scores research output and staff retention will ensure alignment with strategic objectives throughout the lifecycle of this project.</w:t>
      </w:r>
    </w:p>
    <w:p>
      <w:pPr>
        <w:pStyle w:val="BodyText"/>
      </w:pPr>
      <w:r>
        <w:br/>
      </w:r>
    </w:p>
    <w:p>
      <w:pPr>
        <w:pStyle w:val="BodyText"/>
      </w:pPr>
      <w:r>
        <w:t xml:space="preserve">© 2023 Strategic Academic Planning Division. All rights reserved.</w:t>
      </w:r>
      <w:r>
        <w:br/>
      </w:r>
      <w:r>
        <w:t xml:space="preserve">This document pertains exclusively to operational planning for University Lecturer roles in United Kingdom Birmingham.</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United Kingdom Birmingham</dc:title>
  <dc:creator/>
  <dc:language>en</dc:language>
  <cp:keywords/>
  <dcterms:created xsi:type="dcterms:W3CDTF">2026-07-30T00:29:50Z</dcterms:created>
  <dcterms:modified xsi:type="dcterms:W3CDTF">2026-07-30T00:29:50Z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